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9D09" w14:textId="77777777" w:rsidR="00FE1A21" w:rsidRPr="00A8780B" w:rsidRDefault="00FE1A21" w:rsidP="00FE1A21">
      <w:pPr>
        <w:spacing w:before="20" w:after="0" w:line="360" w:lineRule="auto"/>
        <w:ind w:left="100" w:right="-20"/>
        <w:jc w:val="center"/>
        <w:rPr>
          <w:rFonts w:asciiTheme="minorBidi" w:hAnsiTheme="minorBidi"/>
          <w:b/>
          <w:bCs/>
        </w:rPr>
      </w:pPr>
      <w:r w:rsidRPr="00A8780B">
        <w:rPr>
          <w:rFonts w:asciiTheme="minorBidi" w:hAnsiTheme="minorBidi"/>
          <w:b/>
          <w:bCs/>
          <w:noProof/>
        </w:rPr>
        <w:drawing>
          <wp:inline distT="0" distB="0" distL="0" distR="0" wp14:anchorId="23219AC0" wp14:editId="5B3A6A1A">
            <wp:extent cx="2162381" cy="2179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 t="8245" r="5293" b="5459"/>
                    <a:stretch/>
                  </pic:blipFill>
                  <pic:spPr bwMode="auto">
                    <a:xfrm>
                      <a:off x="0" y="0"/>
                      <a:ext cx="2182184" cy="2199078"/>
                    </a:xfrm>
                    <a:prstGeom prst="rect">
                      <a:avLst/>
                    </a:prstGeom>
                    <a:noFill/>
                    <a:ln>
                      <a:noFill/>
                    </a:ln>
                    <a:extLst>
                      <a:ext uri="{53640926-AAD7-44D8-BBD7-CCE9431645EC}">
                        <a14:shadowObscured xmlns:a14="http://schemas.microsoft.com/office/drawing/2010/main"/>
                      </a:ext>
                    </a:extLst>
                  </pic:spPr>
                </pic:pic>
              </a:graphicData>
            </a:graphic>
          </wp:inline>
        </w:drawing>
      </w:r>
    </w:p>
    <w:p w14:paraId="59F50ACE" w14:textId="77777777" w:rsidR="00FE1A21" w:rsidRPr="00A8780B" w:rsidRDefault="00FE1A21" w:rsidP="00FE1A21">
      <w:pPr>
        <w:spacing w:line="360" w:lineRule="auto"/>
        <w:rPr>
          <w:rFonts w:asciiTheme="minorBidi" w:hAnsiTheme="minorBidi"/>
        </w:rPr>
      </w:pPr>
    </w:p>
    <w:p w14:paraId="28AC64F1" w14:textId="77777777" w:rsidR="00FE1A21" w:rsidRPr="00A8780B" w:rsidRDefault="00FE1A21" w:rsidP="00FE1A21">
      <w:pPr>
        <w:tabs>
          <w:tab w:val="left" w:pos="2702"/>
        </w:tabs>
        <w:spacing w:before="20" w:after="0" w:line="360" w:lineRule="auto"/>
        <w:ind w:left="100" w:right="-20"/>
        <w:jc w:val="center"/>
        <w:rPr>
          <w:rFonts w:asciiTheme="minorBidi" w:eastAsia="system-ui" w:hAnsiTheme="minorBidi"/>
          <w:b/>
          <w:bCs/>
          <w:sz w:val="28"/>
          <w:szCs w:val="28"/>
        </w:rPr>
      </w:pPr>
      <w:r w:rsidRPr="00A8780B">
        <w:rPr>
          <w:rFonts w:asciiTheme="minorBidi" w:eastAsia="system-ui" w:hAnsiTheme="minorBidi"/>
          <w:b/>
          <w:bCs/>
          <w:sz w:val="28"/>
          <w:szCs w:val="28"/>
        </w:rPr>
        <w:t>Nat</w:t>
      </w:r>
      <w:r w:rsidRPr="00A8780B">
        <w:rPr>
          <w:rFonts w:asciiTheme="minorBidi" w:eastAsia="system-ui" w:hAnsiTheme="minorBidi"/>
          <w:b/>
          <w:bCs/>
          <w:spacing w:val="1"/>
          <w:sz w:val="28"/>
          <w:szCs w:val="28"/>
        </w:rPr>
        <w:t>i</w:t>
      </w:r>
      <w:r w:rsidRPr="00A8780B">
        <w:rPr>
          <w:rFonts w:asciiTheme="minorBidi" w:eastAsia="system-ui" w:hAnsiTheme="minorBidi"/>
          <w:b/>
          <w:bCs/>
          <w:sz w:val="28"/>
          <w:szCs w:val="28"/>
        </w:rPr>
        <w:t>o</w:t>
      </w:r>
      <w:r w:rsidRPr="00A8780B">
        <w:rPr>
          <w:rFonts w:asciiTheme="minorBidi" w:eastAsia="system-ui" w:hAnsiTheme="minorBidi"/>
          <w:b/>
          <w:bCs/>
          <w:spacing w:val="1"/>
          <w:sz w:val="28"/>
          <w:szCs w:val="28"/>
        </w:rPr>
        <w:t>n</w:t>
      </w:r>
      <w:r w:rsidRPr="00A8780B">
        <w:rPr>
          <w:rFonts w:asciiTheme="minorBidi" w:eastAsia="system-ui" w:hAnsiTheme="minorBidi"/>
          <w:b/>
          <w:bCs/>
          <w:sz w:val="28"/>
          <w:szCs w:val="28"/>
        </w:rPr>
        <w:t>al</w:t>
      </w:r>
      <w:r w:rsidRPr="00A8780B">
        <w:rPr>
          <w:rFonts w:asciiTheme="minorBidi" w:eastAsia="system-ui" w:hAnsiTheme="minorBidi"/>
          <w:b/>
          <w:bCs/>
          <w:spacing w:val="-10"/>
          <w:sz w:val="28"/>
          <w:szCs w:val="28"/>
        </w:rPr>
        <w:t xml:space="preserve"> </w:t>
      </w:r>
      <w:r w:rsidRPr="00A8780B">
        <w:rPr>
          <w:rFonts w:asciiTheme="minorBidi" w:eastAsia="system-ui" w:hAnsiTheme="minorBidi"/>
          <w:b/>
          <w:bCs/>
          <w:sz w:val="28"/>
          <w:szCs w:val="28"/>
        </w:rPr>
        <w:t>I</w:t>
      </w:r>
      <w:r w:rsidRPr="00A8780B">
        <w:rPr>
          <w:rFonts w:asciiTheme="minorBidi" w:eastAsia="system-ui" w:hAnsiTheme="minorBidi"/>
          <w:b/>
          <w:bCs/>
          <w:spacing w:val="-1"/>
          <w:sz w:val="28"/>
          <w:szCs w:val="28"/>
        </w:rPr>
        <w:t>n</w:t>
      </w:r>
      <w:r w:rsidRPr="00A8780B">
        <w:rPr>
          <w:rFonts w:asciiTheme="minorBidi" w:eastAsia="system-ui" w:hAnsiTheme="minorBidi"/>
          <w:b/>
          <w:bCs/>
          <w:spacing w:val="1"/>
          <w:sz w:val="28"/>
          <w:szCs w:val="28"/>
        </w:rPr>
        <w:t>s</w:t>
      </w:r>
      <w:r w:rsidRPr="00A8780B">
        <w:rPr>
          <w:rFonts w:asciiTheme="minorBidi" w:eastAsia="system-ui" w:hAnsiTheme="minorBidi"/>
          <w:b/>
          <w:bCs/>
          <w:sz w:val="28"/>
          <w:szCs w:val="28"/>
        </w:rPr>
        <w:t>t</w:t>
      </w:r>
      <w:r w:rsidRPr="00A8780B">
        <w:rPr>
          <w:rFonts w:asciiTheme="minorBidi" w:eastAsia="system-ui" w:hAnsiTheme="minorBidi"/>
          <w:b/>
          <w:bCs/>
          <w:spacing w:val="1"/>
          <w:sz w:val="28"/>
          <w:szCs w:val="28"/>
        </w:rPr>
        <w:t>i</w:t>
      </w:r>
      <w:r w:rsidRPr="00A8780B">
        <w:rPr>
          <w:rFonts w:asciiTheme="minorBidi" w:eastAsia="system-ui" w:hAnsiTheme="minorBidi"/>
          <w:b/>
          <w:bCs/>
          <w:spacing w:val="-2"/>
          <w:sz w:val="28"/>
          <w:szCs w:val="28"/>
        </w:rPr>
        <w:t>t</w:t>
      </w:r>
      <w:r w:rsidRPr="00A8780B">
        <w:rPr>
          <w:rFonts w:asciiTheme="minorBidi" w:eastAsia="system-ui" w:hAnsiTheme="minorBidi"/>
          <w:b/>
          <w:bCs/>
          <w:sz w:val="28"/>
          <w:szCs w:val="28"/>
        </w:rPr>
        <w:t>u</w:t>
      </w:r>
      <w:r w:rsidRPr="00A8780B">
        <w:rPr>
          <w:rFonts w:asciiTheme="minorBidi" w:eastAsia="system-ui" w:hAnsiTheme="minorBidi"/>
          <w:b/>
          <w:bCs/>
          <w:spacing w:val="1"/>
          <w:sz w:val="28"/>
          <w:szCs w:val="28"/>
        </w:rPr>
        <w:t>t</w:t>
      </w:r>
      <w:r w:rsidRPr="00A8780B">
        <w:rPr>
          <w:rFonts w:asciiTheme="minorBidi" w:eastAsia="system-ui" w:hAnsiTheme="minorBidi"/>
          <w:b/>
          <w:bCs/>
          <w:sz w:val="28"/>
          <w:szCs w:val="28"/>
        </w:rPr>
        <w:t>e</w:t>
      </w:r>
      <w:r w:rsidRPr="00A8780B">
        <w:rPr>
          <w:rFonts w:asciiTheme="minorBidi" w:eastAsia="system-ui" w:hAnsiTheme="minorBidi"/>
          <w:b/>
          <w:bCs/>
          <w:spacing w:val="-13"/>
          <w:sz w:val="28"/>
          <w:szCs w:val="28"/>
        </w:rPr>
        <w:t xml:space="preserve"> </w:t>
      </w:r>
      <w:r w:rsidRPr="00A8780B">
        <w:rPr>
          <w:rFonts w:asciiTheme="minorBidi" w:eastAsia="system-ui" w:hAnsiTheme="minorBidi"/>
          <w:b/>
          <w:bCs/>
          <w:sz w:val="28"/>
          <w:szCs w:val="28"/>
        </w:rPr>
        <w:t>f</w:t>
      </w:r>
      <w:r w:rsidRPr="00A8780B">
        <w:rPr>
          <w:rFonts w:asciiTheme="minorBidi" w:eastAsia="system-ui" w:hAnsiTheme="minorBidi"/>
          <w:b/>
          <w:bCs/>
          <w:spacing w:val="1"/>
          <w:sz w:val="28"/>
          <w:szCs w:val="28"/>
        </w:rPr>
        <w:t>o</w:t>
      </w:r>
      <w:r w:rsidRPr="00A8780B">
        <w:rPr>
          <w:rFonts w:asciiTheme="minorBidi" w:eastAsia="system-ui" w:hAnsiTheme="minorBidi"/>
          <w:b/>
          <w:bCs/>
          <w:sz w:val="28"/>
          <w:szCs w:val="28"/>
        </w:rPr>
        <w:t>r</w:t>
      </w:r>
      <w:r w:rsidRPr="00A8780B">
        <w:rPr>
          <w:rFonts w:asciiTheme="minorBidi" w:eastAsia="system-ui" w:hAnsiTheme="minorBidi"/>
          <w:b/>
          <w:bCs/>
          <w:spacing w:val="-4"/>
          <w:sz w:val="28"/>
          <w:szCs w:val="28"/>
        </w:rPr>
        <w:t xml:space="preserve"> </w:t>
      </w:r>
      <w:r w:rsidRPr="00A8780B">
        <w:rPr>
          <w:rFonts w:asciiTheme="minorBidi" w:eastAsia="system-ui" w:hAnsiTheme="minorBidi"/>
          <w:b/>
          <w:bCs/>
          <w:sz w:val="28"/>
          <w:szCs w:val="28"/>
        </w:rPr>
        <w:t>He</w:t>
      </w:r>
      <w:r w:rsidRPr="00A8780B">
        <w:rPr>
          <w:rFonts w:asciiTheme="minorBidi" w:eastAsia="system-ui" w:hAnsiTheme="minorBidi"/>
          <w:b/>
          <w:bCs/>
          <w:spacing w:val="1"/>
          <w:sz w:val="28"/>
          <w:szCs w:val="28"/>
        </w:rPr>
        <w:t>a</w:t>
      </w:r>
      <w:r w:rsidRPr="00A8780B">
        <w:rPr>
          <w:rFonts w:asciiTheme="minorBidi" w:eastAsia="system-ui" w:hAnsiTheme="minorBidi"/>
          <w:b/>
          <w:bCs/>
          <w:sz w:val="28"/>
          <w:szCs w:val="28"/>
        </w:rPr>
        <w:t>l</w:t>
      </w:r>
      <w:r w:rsidRPr="00A8780B">
        <w:rPr>
          <w:rFonts w:asciiTheme="minorBidi" w:eastAsia="system-ui" w:hAnsiTheme="minorBidi"/>
          <w:b/>
          <w:bCs/>
          <w:spacing w:val="1"/>
          <w:sz w:val="28"/>
          <w:szCs w:val="28"/>
        </w:rPr>
        <w:t>t</w:t>
      </w:r>
      <w:r w:rsidRPr="00A8780B">
        <w:rPr>
          <w:rFonts w:asciiTheme="minorBidi" w:eastAsia="system-ui" w:hAnsiTheme="minorBidi"/>
          <w:b/>
          <w:bCs/>
          <w:sz w:val="28"/>
          <w:szCs w:val="28"/>
        </w:rPr>
        <w:t>h</w:t>
      </w:r>
      <w:r w:rsidRPr="00A8780B">
        <w:rPr>
          <w:rFonts w:asciiTheme="minorBidi" w:eastAsia="system-ui" w:hAnsiTheme="minorBidi"/>
          <w:b/>
          <w:bCs/>
          <w:spacing w:val="-9"/>
          <w:sz w:val="28"/>
          <w:szCs w:val="28"/>
        </w:rPr>
        <w:t xml:space="preserve"> </w:t>
      </w:r>
      <w:r w:rsidRPr="00A8780B">
        <w:rPr>
          <w:rFonts w:asciiTheme="minorBidi" w:eastAsia="system-ui" w:hAnsiTheme="minorBidi"/>
          <w:b/>
          <w:bCs/>
          <w:sz w:val="28"/>
          <w:szCs w:val="28"/>
        </w:rPr>
        <w:t>Sp</w:t>
      </w:r>
      <w:r w:rsidRPr="00A8780B">
        <w:rPr>
          <w:rFonts w:asciiTheme="minorBidi" w:eastAsia="system-ui" w:hAnsiTheme="minorBidi"/>
          <w:b/>
          <w:bCs/>
          <w:spacing w:val="-1"/>
          <w:sz w:val="28"/>
          <w:szCs w:val="28"/>
        </w:rPr>
        <w:t>e</w:t>
      </w:r>
      <w:r w:rsidRPr="00A8780B">
        <w:rPr>
          <w:rFonts w:asciiTheme="minorBidi" w:eastAsia="system-ui" w:hAnsiTheme="minorBidi"/>
          <w:b/>
          <w:bCs/>
          <w:spacing w:val="1"/>
          <w:sz w:val="28"/>
          <w:szCs w:val="28"/>
        </w:rPr>
        <w:t>c</w:t>
      </w:r>
      <w:r w:rsidRPr="00A8780B">
        <w:rPr>
          <w:rFonts w:asciiTheme="minorBidi" w:eastAsia="system-ui" w:hAnsiTheme="minorBidi"/>
          <w:b/>
          <w:bCs/>
          <w:sz w:val="28"/>
          <w:szCs w:val="28"/>
        </w:rPr>
        <w:t>i</w:t>
      </w:r>
      <w:r w:rsidRPr="00A8780B">
        <w:rPr>
          <w:rFonts w:asciiTheme="minorBidi" w:eastAsia="system-ui" w:hAnsiTheme="minorBidi"/>
          <w:b/>
          <w:bCs/>
          <w:spacing w:val="1"/>
          <w:sz w:val="28"/>
          <w:szCs w:val="28"/>
        </w:rPr>
        <w:t>a</w:t>
      </w:r>
      <w:r w:rsidRPr="00A8780B">
        <w:rPr>
          <w:rFonts w:asciiTheme="minorBidi" w:eastAsia="system-ui" w:hAnsiTheme="minorBidi"/>
          <w:b/>
          <w:bCs/>
          <w:spacing w:val="-2"/>
          <w:sz w:val="28"/>
          <w:szCs w:val="28"/>
        </w:rPr>
        <w:t>l</w:t>
      </w:r>
      <w:r w:rsidRPr="00A8780B">
        <w:rPr>
          <w:rFonts w:asciiTheme="minorBidi" w:eastAsia="system-ui" w:hAnsiTheme="minorBidi"/>
          <w:b/>
          <w:bCs/>
          <w:sz w:val="28"/>
          <w:szCs w:val="28"/>
        </w:rPr>
        <w:t>t</w:t>
      </w:r>
      <w:r w:rsidRPr="00A8780B">
        <w:rPr>
          <w:rFonts w:asciiTheme="minorBidi" w:eastAsia="system-ui" w:hAnsiTheme="minorBidi"/>
          <w:b/>
          <w:bCs/>
          <w:spacing w:val="1"/>
          <w:sz w:val="28"/>
          <w:szCs w:val="28"/>
        </w:rPr>
        <w:t>i</w:t>
      </w:r>
      <w:r w:rsidRPr="00A8780B">
        <w:rPr>
          <w:rFonts w:asciiTheme="minorBidi" w:eastAsia="system-ui" w:hAnsiTheme="minorBidi"/>
          <w:b/>
          <w:bCs/>
          <w:sz w:val="28"/>
          <w:szCs w:val="28"/>
        </w:rPr>
        <w:t>es</w:t>
      </w:r>
    </w:p>
    <w:p w14:paraId="78A93ECC" w14:textId="77777777" w:rsidR="00FE1A21" w:rsidRPr="00A8780B" w:rsidRDefault="00FE1A21" w:rsidP="00FE1A21">
      <w:pPr>
        <w:spacing w:after="0" w:line="360" w:lineRule="auto"/>
        <w:ind w:left="100" w:right="-20"/>
        <w:jc w:val="center"/>
        <w:rPr>
          <w:rFonts w:asciiTheme="minorBidi" w:eastAsia="system-ui" w:hAnsiTheme="minorBidi"/>
          <w:b/>
          <w:bCs/>
          <w:sz w:val="28"/>
          <w:szCs w:val="28"/>
        </w:rPr>
      </w:pPr>
      <w:r w:rsidRPr="00A8780B">
        <w:rPr>
          <w:rFonts w:asciiTheme="minorBidi" w:eastAsia="system-ui" w:hAnsiTheme="minorBidi"/>
          <w:b/>
          <w:bCs/>
          <w:sz w:val="28"/>
          <w:szCs w:val="28"/>
        </w:rPr>
        <w:t>U</w:t>
      </w:r>
      <w:r w:rsidRPr="00A8780B">
        <w:rPr>
          <w:rFonts w:asciiTheme="minorBidi" w:eastAsia="system-ui" w:hAnsiTheme="minorBidi"/>
          <w:b/>
          <w:bCs/>
          <w:spacing w:val="-1"/>
          <w:sz w:val="28"/>
          <w:szCs w:val="28"/>
        </w:rPr>
        <w:t>n</w:t>
      </w:r>
      <w:r w:rsidRPr="00A8780B">
        <w:rPr>
          <w:rFonts w:asciiTheme="minorBidi" w:eastAsia="system-ui" w:hAnsiTheme="minorBidi"/>
          <w:b/>
          <w:bCs/>
          <w:sz w:val="28"/>
          <w:szCs w:val="28"/>
        </w:rPr>
        <w:t>i</w:t>
      </w:r>
      <w:r w:rsidRPr="00A8780B">
        <w:rPr>
          <w:rFonts w:asciiTheme="minorBidi" w:eastAsia="system-ui" w:hAnsiTheme="minorBidi"/>
          <w:b/>
          <w:bCs/>
          <w:spacing w:val="1"/>
          <w:sz w:val="28"/>
          <w:szCs w:val="28"/>
        </w:rPr>
        <w:t>t</w:t>
      </w:r>
      <w:r w:rsidRPr="00A8780B">
        <w:rPr>
          <w:rFonts w:asciiTheme="minorBidi" w:eastAsia="system-ui" w:hAnsiTheme="minorBidi"/>
          <w:b/>
          <w:bCs/>
          <w:sz w:val="28"/>
          <w:szCs w:val="28"/>
        </w:rPr>
        <w:t>ed</w:t>
      </w:r>
      <w:r w:rsidRPr="00A8780B">
        <w:rPr>
          <w:rFonts w:asciiTheme="minorBidi" w:eastAsia="system-ui" w:hAnsiTheme="minorBidi"/>
          <w:b/>
          <w:bCs/>
          <w:spacing w:val="-1"/>
          <w:sz w:val="28"/>
          <w:szCs w:val="28"/>
        </w:rPr>
        <w:t xml:space="preserve"> </w:t>
      </w:r>
      <w:r w:rsidRPr="00A8780B">
        <w:rPr>
          <w:rFonts w:asciiTheme="minorBidi" w:eastAsia="system-ui" w:hAnsiTheme="minorBidi"/>
          <w:b/>
          <w:bCs/>
          <w:spacing w:val="1"/>
          <w:sz w:val="28"/>
          <w:szCs w:val="28"/>
        </w:rPr>
        <w:t>A</w:t>
      </w:r>
      <w:r w:rsidRPr="00A8780B">
        <w:rPr>
          <w:rFonts w:asciiTheme="minorBidi" w:eastAsia="system-ui" w:hAnsiTheme="minorBidi"/>
          <w:b/>
          <w:bCs/>
          <w:sz w:val="28"/>
          <w:szCs w:val="28"/>
        </w:rPr>
        <w:t>r</w:t>
      </w:r>
      <w:r w:rsidRPr="00A8780B">
        <w:rPr>
          <w:rFonts w:asciiTheme="minorBidi" w:eastAsia="system-ui" w:hAnsiTheme="minorBidi"/>
          <w:b/>
          <w:bCs/>
          <w:spacing w:val="-1"/>
          <w:sz w:val="28"/>
          <w:szCs w:val="28"/>
        </w:rPr>
        <w:t>a</w:t>
      </w:r>
      <w:r w:rsidRPr="00A8780B">
        <w:rPr>
          <w:rFonts w:asciiTheme="minorBidi" w:eastAsia="system-ui" w:hAnsiTheme="minorBidi"/>
          <w:b/>
          <w:bCs/>
          <w:sz w:val="28"/>
          <w:szCs w:val="28"/>
        </w:rPr>
        <w:t xml:space="preserve">b </w:t>
      </w:r>
      <w:r w:rsidRPr="00A8780B">
        <w:rPr>
          <w:rFonts w:asciiTheme="minorBidi" w:eastAsia="system-ui" w:hAnsiTheme="minorBidi"/>
          <w:b/>
          <w:bCs/>
          <w:spacing w:val="1"/>
          <w:sz w:val="28"/>
          <w:szCs w:val="28"/>
        </w:rPr>
        <w:t>E</w:t>
      </w:r>
      <w:r w:rsidRPr="00A8780B">
        <w:rPr>
          <w:rFonts w:asciiTheme="minorBidi" w:eastAsia="system-ui" w:hAnsiTheme="minorBidi"/>
          <w:b/>
          <w:bCs/>
          <w:sz w:val="28"/>
          <w:szCs w:val="28"/>
        </w:rPr>
        <w:t>mira</w:t>
      </w:r>
      <w:r w:rsidRPr="00A8780B">
        <w:rPr>
          <w:rFonts w:asciiTheme="minorBidi" w:eastAsia="system-ui" w:hAnsiTheme="minorBidi"/>
          <w:b/>
          <w:bCs/>
          <w:spacing w:val="-2"/>
          <w:sz w:val="28"/>
          <w:szCs w:val="28"/>
        </w:rPr>
        <w:t>t</w:t>
      </w:r>
      <w:r w:rsidRPr="00A8780B">
        <w:rPr>
          <w:rFonts w:asciiTheme="minorBidi" w:eastAsia="system-ui" w:hAnsiTheme="minorBidi"/>
          <w:b/>
          <w:bCs/>
          <w:sz w:val="28"/>
          <w:szCs w:val="28"/>
        </w:rPr>
        <w:t>es</w:t>
      </w:r>
    </w:p>
    <w:p w14:paraId="0FDB22BB" w14:textId="77777777" w:rsidR="00FE1A21" w:rsidRPr="00A8780B" w:rsidRDefault="00FE1A21" w:rsidP="00FE1A21">
      <w:pPr>
        <w:spacing w:line="360" w:lineRule="auto"/>
        <w:jc w:val="both"/>
        <w:rPr>
          <w:rFonts w:asciiTheme="minorBidi" w:eastAsia="system-ui" w:hAnsiTheme="minorBidi"/>
          <w:sz w:val="28"/>
          <w:szCs w:val="28"/>
        </w:rPr>
      </w:pPr>
    </w:p>
    <w:p w14:paraId="64D014E8" w14:textId="77777777" w:rsidR="00FE1A21" w:rsidRPr="00A8780B" w:rsidRDefault="00FE1A21" w:rsidP="00FE1A21">
      <w:pPr>
        <w:spacing w:line="360" w:lineRule="auto"/>
        <w:jc w:val="both"/>
        <w:rPr>
          <w:rFonts w:asciiTheme="minorBidi" w:eastAsia="system-ui" w:hAnsiTheme="minorBidi"/>
        </w:rPr>
      </w:pPr>
    </w:p>
    <w:p w14:paraId="1DBEF23B" w14:textId="77777777" w:rsidR="00FE1A21" w:rsidRPr="00A8780B" w:rsidRDefault="00FE1A21" w:rsidP="00FE1A21">
      <w:pPr>
        <w:spacing w:line="360" w:lineRule="auto"/>
        <w:jc w:val="both"/>
        <w:rPr>
          <w:rFonts w:asciiTheme="minorBidi" w:eastAsia="system-ui" w:hAnsiTheme="minorBidi"/>
        </w:rPr>
      </w:pPr>
    </w:p>
    <w:p w14:paraId="4929FF00" w14:textId="0AF3909E" w:rsidR="00FE1A21" w:rsidRPr="00A8780B" w:rsidRDefault="00FE1A21" w:rsidP="00FE1A21">
      <w:pPr>
        <w:jc w:val="center"/>
        <w:rPr>
          <w:rFonts w:asciiTheme="minorBidi" w:eastAsia="Arial" w:hAnsiTheme="minorBidi"/>
          <w:b/>
          <w:bCs/>
          <w:sz w:val="40"/>
          <w:szCs w:val="40"/>
        </w:rPr>
      </w:pPr>
      <w:r w:rsidRPr="00A8780B">
        <w:rPr>
          <w:rFonts w:asciiTheme="minorBidi" w:eastAsia="Arial" w:hAnsiTheme="minorBidi"/>
          <w:b/>
          <w:bCs/>
          <w:sz w:val="40"/>
          <w:szCs w:val="40"/>
        </w:rPr>
        <w:t xml:space="preserve">NIHS </w:t>
      </w:r>
      <w:r w:rsidR="00B05E8A" w:rsidRPr="00A8780B">
        <w:rPr>
          <w:rFonts w:asciiTheme="minorBidi" w:eastAsia="Arial" w:hAnsiTheme="minorBidi"/>
          <w:b/>
          <w:bCs/>
          <w:sz w:val="40"/>
          <w:szCs w:val="40"/>
        </w:rPr>
        <w:t>Guideline for</w:t>
      </w:r>
      <w:r w:rsidRPr="00A8780B">
        <w:rPr>
          <w:rFonts w:asciiTheme="minorBidi" w:eastAsia="Arial" w:hAnsiTheme="minorBidi"/>
          <w:b/>
          <w:bCs/>
          <w:sz w:val="40"/>
          <w:szCs w:val="40"/>
        </w:rPr>
        <w:t xml:space="preserve"> Accrediting </w:t>
      </w:r>
      <w:r w:rsidR="00B0061E" w:rsidRPr="00A8780B">
        <w:rPr>
          <w:rFonts w:asciiTheme="minorBidi" w:eastAsia="Arial" w:hAnsiTheme="minorBidi"/>
          <w:b/>
          <w:bCs/>
          <w:sz w:val="40"/>
          <w:szCs w:val="40"/>
        </w:rPr>
        <w:t>Joint</w:t>
      </w:r>
      <w:r w:rsidRPr="00A8780B">
        <w:rPr>
          <w:rFonts w:asciiTheme="minorBidi" w:eastAsia="Arial" w:hAnsiTheme="minorBidi"/>
          <w:b/>
          <w:bCs/>
          <w:sz w:val="40"/>
          <w:szCs w:val="40"/>
        </w:rPr>
        <w:t xml:space="preserve"> Residency and Fellowship Programs Across Multiple Participating Sites</w:t>
      </w:r>
    </w:p>
    <w:p w14:paraId="4AC626E5" w14:textId="77777777" w:rsidR="00BF4985" w:rsidRPr="00A8780B" w:rsidRDefault="00BF4985" w:rsidP="00FE1A21">
      <w:pPr>
        <w:jc w:val="center"/>
        <w:rPr>
          <w:rFonts w:asciiTheme="minorBidi" w:eastAsia="Arial" w:hAnsiTheme="minorBidi"/>
          <w:b/>
          <w:bCs/>
          <w:sz w:val="40"/>
          <w:szCs w:val="40"/>
        </w:rPr>
      </w:pPr>
    </w:p>
    <w:p w14:paraId="50716C60" w14:textId="0A5E52DD" w:rsidR="00BF4985" w:rsidRPr="00A8780B" w:rsidRDefault="00C40C48" w:rsidP="00FE1A21">
      <w:pPr>
        <w:jc w:val="center"/>
        <w:rPr>
          <w:rFonts w:asciiTheme="minorBidi" w:eastAsia="Arial" w:hAnsiTheme="minorBidi"/>
          <w:sz w:val="24"/>
          <w:szCs w:val="24"/>
        </w:rPr>
      </w:pPr>
      <w:r w:rsidRPr="00A8780B">
        <w:rPr>
          <w:rFonts w:asciiTheme="minorBidi" w:eastAsia="Arial" w:hAnsiTheme="minorBidi"/>
          <w:sz w:val="24"/>
          <w:szCs w:val="24"/>
        </w:rPr>
        <w:t>Vision</w:t>
      </w:r>
      <w:r w:rsidR="00B4695D" w:rsidRPr="00A8780B">
        <w:rPr>
          <w:rFonts w:asciiTheme="minorBidi" w:eastAsia="Arial" w:hAnsiTheme="minorBidi"/>
          <w:sz w:val="24"/>
          <w:szCs w:val="24"/>
        </w:rPr>
        <w:t xml:space="preserve"> (1)</w:t>
      </w:r>
    </w:p>
    <w:p w14:paraId="732AB9E2" w14:textId="77777777" w:rsidR="00FE1A21" w:rsidRPr="00A8780B" w:rsidRDefault="00FE1A21" w:rsidP="00FE1A21">
      <w:pPr>
        <w:spacing w:line="360" w:lineRule="auto"/>
        <w:jc w:val="center"/>
        <w:rPr>
          <w:rFonts w:asciiTheme="minorBidi" w:hAnsiTheme="minorBidi"/>
          <w:b/>
          <w:bCs/>
        </w:rPr>
      </w:pPr>
    </w:p>
    <w:p w14:paraId="243439CD" w14:textId="77777777" w:rsidR="00FE1A21" w:rsidRPr="00A8780B" w:rsidRDefault="00FE1A21" w:rsidP="00FE1A21">
      <w:pPr>
        <w:spacing w:line="360" w:lineRule="auto"/>
        <w:rPr>
          <w:rFonts w:asciiTheme="minorBidi" w:hAnsiTheme="minorBidi"/>
          <w:b/>
          <w:bCs/>
        </w:rPr>
      </w:pPr>
    </w:p>
    <w:p w14:paraId="029A4358" w14:textId="77777777" w:rsidR="00FE1A21" w:rsidRPr="00A8780B" w:rsidRDefault="00FE1A21" w:rsidP="00FE1A21">
      <w:pPr>
        <w:rPr>
          <w:rFonts w:asciiTheme="minorBidi" w:hAnsiTheme="minorBidi"/>
          <w:b/>
          <w:bCs/>
        </w:rPr>
      </w:pPr>
    </w:p>
    <w:p w14:paraId="73164096" w14:textId="77777777" w:rsidR="00FE1A21" w:rsidRPr="00A8780B" w:rsidRDefault="00FE1A21" w:rsidP="00FE1A21">
      <w:pPr>
        <w:rPr>
          <w:rFonts w:asciiTheme="minorBidi" w:eastAsia="system-ui" w:hAnsiTheme="minorBidi"/>
          <w:b/>
          <w:bCs/>
          <w:sz w:val="28"/>
          <w:szCs w:val="28"/>
        </w:rPr>
      </w:pPr>
    </w:p>
    <w:p w14:paraId="37B8AE7C" w14:textId="77777777" w:rsidR="00FE1A21" w:rsidRPr="00A8780B" w:rsidRDefault="00FE1A21" w:rsidP="00FE1A21">
      <w:pPr>
        <w:rPr>
          <w:rFonts w:asciiTheme="minorBidi" w:eastAsia="system-ui" w:hAnsiTheme="minorBidi"/>
          <w:b/>
          <w:bCs/>
          <w:sz w:val="28"/>
          <w:szCs w:val="28"/>
        </w:rPr>
      </w:pPr>
    </w:p>
    <w:p w14:paraId="430A9C7E" w14:textId="77777777" w:rsidR="00FE1A21" w:rsidRPr="00A8780B" w:rsidRDefault="00FE1A21" w:rsidP="00FE1A21">
      <w:pPr>
        <w:rPr>
          <w:rFonts w:asciiTheme="minorBidi" w:eastAsia="system-ui" w:hAnsiTheme="minorBidi"/>
          <w:b/>
          <w:bCs/>
          <w:sz w:val="28"/>
          <w:szCs w:val="28"/>
        </w:rPr>
      </w:pPr>
    </w:p>
    <w:p w14:paraId="092278A0" w14:textId="77777777" w:rsidR="00FE1A21" w:rsidRPr="00A8780B" w:rsidRDefault="00FE1A21" w:rsidP="00FE1A21">
      <w:pPr>
        <w:rPr>
          <w:rFonts w:asciiTheme="minorBidi" w:eastAsia="system-ui" w:hAnsiTheme="minorBidi"/>
          <w:b/>
          <w:bCs/>
          <w:sz w:val="28"/>
          <w:szCs w:val="28"/>
        </w:rPr>
      </w:pPr>
    </w:p>
    <w:p w14:paraId="0A7A465B" w14:textId="77777777" w:rsidR="00FE1A21" w:rsidRPr="00A8780B" w:rsidRDefault="00FE1A21" w:rsidP="00FE1A21">
      <w:pPr>
        <w:rPr>
          <w:rFonts w:asciiTheme="minorBidi" w:eastAsia="system-ui" w:hAnsiTheme="minorBidi"/>
          <w:b/>
          <w:bCs/>
          <w:sz w:val="28"/>
          <w:szCs w:val="28"/>
        </w:rPr>
      </w:pPr>
    </w:p>
    <w:p w14:paraId="0FE9B554" w14:textId="77777777" w:rsidR="00FE1A21" w:rsidRPr="00A8780B" w:rsidRDefault="00FE1A21" w:rsidP="00FE1A21">
      <w:pPr>
        <w:rPr>
          <w:rFonts w:asciiTheme="minorBidi" w:eastAsia="system-ui" w:hAnsiTheme="minorBidi"/>
          <w:b/>
          <w:bCs/>
          <w:sz w:val="28"/>
          <w:szCs w:val="28"/>
        </w:rPr>
      </w:pPr>
    </w:p>
    <w:sdt>
      <w:sdtPr>
        <w:rPr>
          <w:rFonts w:asciiTheme="minorBidi" w:eastAsia="system-ui" w:hAnsiTheme="minorBidi" w:cstheme="minorBidi"/>
          <w:color w:val="auto"/>
          <w:kern w:val="2"/>
          <w:sz w:val="22"/>
          <w:szCs w:val="22"/>
          <w14:ligatures w14:val="standardContextual"/>
        </w:rPr>
        <w:id w:val="310048883"/>
        <w:docPartObj>
          <w:docPartGallery w:val="Table of Contents"/>
          <w:docPartUnique/>
        </w:docPartObj>
      </w:sdtPr>
      <w:sdtEndPr/>
      <w:sdtContent>
        <w:p w14:paraId="13DE07B3" w14:textId="77777777" w:rsidR="00FE1A21" w:rsidRPr="00A8780B" w:rsidRDefault="00FE1A21" w:rsidP="00FE1A21">
          <w:pPr>
            <w:pStyle w:val="TOCHeading"/>
            <w:spacing w:line="360" w:lineRule="auto"/>
            <w:rPr>
              <w:rFonts w:asciiTheme="minorBidi" w:eastAsia="system-ui" w:hAnsiTheme="minorBidi" w:cstheme="minorBidi"/>
              <w:b/>
              <w:bCs/>
              <w:color w:val="auto"/>
              <w:sz w:val="22"/>
              <w:szCs w:val="22"/>
            </w:rPr>
          </w:pPr>
          <w:r w:rsidRPr="00A8780B">
            <w:rPr>
              <w:rFonts w:asciiTheme="minorBidi" w:eastAsia="system-ui" w:hAnsiTheme="minorBidi" w:cstheme="minorBidi"/>
              <w:color w:val="auto"/>
              <w:sz w:val="22"/>
              <w:szCs w:val="22"/>
            </w:rPr>
            <w:t>Contents</w:t>
          </w:r>
        </w:p>
        <w:p w14:paraId="49880467" w14:textId="4AEA06FA" w:rsidR="00013388" w:rsidRPr="00A8780B" w:rsidRDefault="00FE1A21">
          <w:pPr>
            <w:pStyle w:val="TOC1"/>
            <w:tabs>
              <w:tab w:val="right" w:leader="dot" w:pos="9350"/>
            </w:tabs>
            <w:rPr>
              <w:rFonts w:eastAsiaTheme="minorEastAsia"/>
              <w:noProof/>
              <w:sz w:val="24"/>
              <w:szCs w:val="24"/>
            </w:rPr>
          </w:pPr>
          <w:r w:rsidRPr="00A8780B">
            <w:rPr>
              <w:rFonts w:asciiTheme="minorBidi" w:hAnsiTheme="minorBidi"/>
            </w:rPr>
            <w:fldChar w:fldCharType="begin"/>
          </w:r>
          <w:r w:rsidRPr="00A8780B">
            <w:rPr>
              <w:rFonts w:asciiTheme="minorBidi" w:hAnsiTheme="minorBidi"/>
            </w:rPr>
            <w:instrText>TOC \o "1-3" \h \z \u</w:instrText>
          </w:r>
          <w:r w:rsidRPr="00A8780B">
            <w:rPr>
              <w:rFonts w:asciiTheme="minorBidi" w:hAnsiTheme="minorBidi"/>
            </w:rPr>
            <w:fldChar w:fldCharType="separate"/>
          </w:r>
          <w:hyperlink w:anchor="_Toc175216248" w:history="1">
            <w:r w:rsidR="00013388" w:rsidRPr="00A8780B">
              <w:rPr>
                <w:rStyle w:val="Hyperlink"/>
                <w:rFonts w:asciiTheme="minorBidi" w:hAnsiTheme="minorBidi"/>
                <w:b/>
                <w:bCs/>
                <w:noProof/>
              </w:rPr>
              <w:t>Background</w:t>
            </w:r>
            <w:r w:rsidR="00013388" w:rsidRPr="00A8780B">
              <w:rPr>
                <w:noProof/>
                <w:webHidden/>
              </w:rPr>
              <w:tab/>
            </w:r>
            <w:r w:rsidR="00013388" w:rsidRPr="00A8780B">
              <w:rPr>
                <w:noProof/>
                <w:webHidden/>
              </w:rPr>
              <w:fldChar w:fldCharType="begin"/>
            </w:r>
            <w:r w:rsidR="00013388" w:rsidRPr="00A8780B">
              <w:rPr>
                <w:noProof/>
                <w:webHidden/>
              </w:rPr>
              <w:instrText xml:space="preserve"> PAGEREF _Toc175216248 \h </w:instrText>
            </w:r>
            <w:r w:rsidR="00013388" w:rsidRPr="00A8780B">
              <w:rPr>
                <w:noProof/>
                <w:webHidden/>
              </w:rPr>
            </w:r>
            <w:r w:rsidR="00013388" w:rsidRPr="00A8780B">
              <w:rPr>
                <w:noProof/>
                <w:webHidden/>
              </w:rPr>
              <w:fldChar w:fldCharType="separate"/>
            </w:r>
            <w:r w:rsidR="00013388" w:rsidRPr="00A8780B">
              <w:rPr>
                <w:noProof/>
                <w:webHidden/>
              </w:rPr>
              <w:t>3</w:t>
            </w:r>
            <w:r w:rsidR="00013388" w:rsidRPr="00A8780B">
              <w:rPr>
                <w:noProof/>
                <w:webHidden/>
              </w:rPr>
              <w:fldChar w:fldCharType="end"/>
            </w:r>
          </w:hyperlink>
        </w:p>
        <w:p w14:paraId="021DB684" w14:textId="684622BF" w:rsidR="00013388" w:rsidRPr="00A8780B" w:rsidRDefault="00013388">
          <w:pPr>
            <w:pStyle w:val="TOC1"/>
            <w:tabs>
              <w:tab w:val="right" w:leader="dot" w:pos="9350"/>
            </w:tabs>
            <w:rPr>
              <w:rFonts w:eastAsiaTheme="minorEastAsia"/>
              <w:noProof/>
              <w:sz w:val="24"/>
              <w:szCs w:val="24"/>
            </w:rPr>
          </w:pPr>
          <w:hyperlink w:anchor="_Toc175216249" w:history="1">
            <w:r w:rsidRPr="00A8780B">
              <w:rPr>
                <w:rStyle w:val="Hyperlink"/>
                <w:rFonts w:asciiTheme="minorBidi" w:hAnsiTheme="minorBidi"/>
                <w:b/>
                <w:bCs/>
                <w:noProof/>
              </w:rPr>
              <w:t>Objective</w:t>
            </w:r>
            <w:r w:rsidRPr="00A8780B">
              <w:rPr>
                <w:noProof/>
                <w:webHidden/>
              </w:rPr>
              <w:tab/>
            </w:r>
            <w:r w:rsidRPr="00A8780B">
              <w:rPr>
                <w:noProof/>
                <w:webHidden/>
              </w:rPr>
              <w:fldChar w:fldCharType="begin"/>
            </w:r>
            <w:r w:rsidRPr="00A8780B">
              <w:rPr>
                <w:noProof/>
                <w:webHidden/>
              </w:rPr>
              <w:instrText xml:space="preserve"> PAGEREF _Toc175216249 \h </w:instrText>
            </w:r>
            <w:r w:rsidRPr="00A8780B">
              <w:rPr>
                <w:noProof/>
                <w:webHidden/>
              </w:rPr>
            </w:r>
            <w:r w:rsidRPr="00A8780B">
              <w:rPr>
                <w:noProof/>
                <w:webHidden/>
              </w:rPr>
              <w:fldChar w:fldCharType="separate"/>
            </w:r>
            <w:r w:rsidRPr="00A8780B">
              <w:rPr>
                <w:noProof/>
                <w:webHidden/>
              </w:rPr>
              <w:t>3</w:t>
            </w:r>
            <w:r w:rsidRPr="00A8780B">
              <w:rPr>
                <w:noProof/>
                <w:webHidden/>
              </w:rPr>
              <w:fldChar w:fldCharType="end"/>
            </w:r>
          </w:hyperlink>
        </w:p>
        <w:p w14:paraId="48EFAA4A" w14:textId="1A03613D" w:rsidR="00013388" w:rsidRPr="00A8780B" w:rsidRDefault="00013388">
          <w:pPr>
            <w:pStyle w:val="TOC1"/>
            <w:tabs>
              <w:tab w:val="right" w:leader="dot" w:pos="9350"/>
            </w:tabs>
            <w:rPr>
              <w:rFonts w:eastAsiaTheme="minorEastAsia"/>
              <w:noProof/>
              <w:sz w:val="24"/>
              <w:szCs w:val="24"/>
            </w:rPr>
          </w:pPr>
          <w:hyperlink w:anchor="_Toc175216250" w:history="1">
            <w:r w:rsidRPr="00A8780B">
              <w:rPr>
                <w:rStyle w:val="Hyperlink"/>
                <w:rFonts w:asciiTheme="minorBidi" w:hAnsiTheme="minorBidi"/>
                <w:b/>
                <w:bCs/>
                <w:noProof/>
              </w:rPr>
              <w:t>Definitions</w:t>
            </w:r>
            <w:r w:rsidRPr="00A8780B">
              <w:rPr>
                <w:noProof/>
                <w:webHidden/>
              </w:rPr>
              <w:tab/>
            </w:r>
            <w:r w:rsidRPr="00A8780B">
              <w:rPr>
                <w:noProof/>
                <w:webHidden/>
              </w:rPr>
              <w:fldChar w:fldCharType="begin"/>
            </w:r>
            <w:r w:rsidRPr="00A8780B">
              <w:rPr>
                <w:noProof/>
                <w:webHidden/>
              </w:rPr>
              <w:instrText xml:space="preserve"> PAGEREF _Toc175216250 \h </w:instrText>
            </w:r>
            <w:r w:rsidRPr="00A8780B">
              <w:rPr>
                <w:noProof/>
                <w:webHidden/>
              </w:rPr>
            </w:r>
            <w:r w:rsidRPr="00A8780B">
              <w:rPr>
                <w:noProof/>
                <w:webHidden/>
              </w:rPr>
              <w:fldChar w:fldCharType="separate"/>
            </w:r>
            <w:r w:rsidRPr="00A8780B">
              <w:rPr>
                <w:noProof/>
                <w:webHidden/>
              </w:rPr>
              <w:t>3</w:t>
            </w:r>
            <w:r w:rsidRPr="00A8780B">
              <w:rPr>
                <w:noProof/>
                <w:webHidden/>
              </w:rPr>
              <w:fldChar w:fldCharType="end"/>
            </w:r>
          </w:hyperlink>
        </w:p>
        <w:p w14:paraId="2D64A58A" w14:textId="79ED3BE0" w:rsidR="00013388" w:rsidRPr="00A8780B" w:rsidRDefault="00013388">
          <w:pPr>
            <w:pStyle w:val="TOC1"/>
            <w:tabs>
              <w:tab w:val="right" w:leader="dot" w:pos="9350"/>
            </w:tabs>
            <w:rPr>
              <w:rFonts w:eastAsiaTheme="minorEastAsia"/>
              <w:noProof/>
              <w:sz w:val="24"/>
              <w:szCs w:val="24"/>
            </w:rPr>
          </w:pPr>
          <w:hyperlink w:anchor="_Toc175216251" w:history="1">
            <w:r w:rsidRPr="00A8780B">
              <w:rPr>
                <w:rStyle w:val="Hyperlink"/>
                <w:rFonts w:asciiTheme="minorBidi" w:hAnsiTheme="minorBidi"/>
                <w:b/>
                <w:bCs/>
                <w:noProof/>
              </w:rPr>
              <w:t>References</w:t>
            </w:r>
            <w:r w:rsidRPr="00A8780B">
              <w:rPr>
                <w:noProof/>
                <w:webHidden/>
              </w:rPr>
              <w:tab/>
            </w:r>
            <w:r w:rsidRPr="00A8780B">
              <w:rPr>
                <w:noProof/>
                <w:webHidden/>
              </w:rPr>
              <w:fldChar w:fldCharType="begin"/>
            </w:r>
            <w:r w:rsidRPr="00A8780B">
              <w:rPr>
                <w:noProof/>
                <w:webHidden/>
              </w:rPr>
              <w:instrText xml:space="preserve"> PAGEREF _Toc175216251 \h </w:instrText>
            </w:r>
            <w:r w:rsidRPr="00A8780B">
              <w:rPr>
                <w:noProof/>
                <w:webHidden/>
              </w:rPr>
            </w:r>
            <w:r w:rsidRPr="00A8780B">
              <w:rPr>
                <w:noProof/>
                <w:webHidden/>
              </w:rPr>
              <w:fldChar w:fldCharType="separate"/>
            </w:r>
            <w:r w:rsidRPr="00A8780B">
              <w:rPr>
                <w:noProof/>
                <w:webHidden/>
              </w:rPr>
              <w:t>6</w:t>
            </w:r>
            <w:r w:rsidRPr="00A8780B">
              <w:rPr>
                <w:noProof/>
                <w:webHidden/>
              </w:rPr>
              <w:fldChar w:fldCharType="end"/>
            </w:r>
          </w:hyperlink>
        </w:p>
        <w:p w14:paraId="2A4C7F10" w14:textId="092F62A6" w:rsidR="00FE1A21" w:rsidRPr="00A8780B" w:rsidRDefault="00FE1A21" w:rsidP="00FE1A21">
          <w:pPr>
            <w:pStyle w:val="TOC2"/>
            <w:tabs>
              <w:tab w:val="left" w:pos="870"/>
              <w:tab w:val="right" w:leader="dot" w:pos="9015"/>
            </w:tabs>
            <w:spacing w:line="360" w:lineRule="auto"/>
            <w:rPr>
              <w:rFonts w:asciiTheme="minorBidi" w:eastAsia="system-ui" w:hAnsiTheme="minorBidi"/>
            </w:rPr>
          </w:pPr>
          <w:r w:rsidRPr="00A8780B">
            <w:rPr>
              <w:rFonts w:asciiTheme="minorBidi" w:hAnsiTheme="minorBidi"/>
            </w:rPr>
            <w:fldChar w:fldCharType="end"/>
          </w:r>
        </w:p>
      </w:sdtContent>
    </w:sdt>
    <w:p w14:paraId="53B35DC8" w14:textId="77777777" w:rsidR="00FE1A21" w:rsidRPr="00A8780B" w:rsidRDefault="00FE1A21" w:rsidP="00FE1A21">
      <w:pPr>
        <w:spacing w:line="360" w:lineRule="auto"/>
        <w:rPr>
          <w:rFonts w:asciiTheme="minorBidi" w:hAnsiTheme="minorBidi"/>
        </w:rPr>
      </w:pPr>
      <w:r w:rsidRPr="00A8780B">
        <w:rPr>
          <w:rFonts w:asciiTheme="minorBidi" w:hAnsiTheme="minorBidi"/>
        </w:rPr>
        <w:br w:type="page"/>
      </w:r>
    </w:p>
    <w:p w14:paraId="0433EFF5" w14:textId="77777777" w:rsidR="00013388" w:rsidRPr="00A8780B" w:rsidRDefault="00013388" w:rsidP="00013388">
      <w:pPr>
        <w:pStyle w:val="Heading1"/>
        <w:rPr>
          <w:rFonts w:asciiTheme="minorBidi" w:hAnsiTheme="minorBidi" w:cstheme="minorBidi"/>
          <w:b/>
          <w:bCs/>
          <w:color w:val="auto"/>
          <w:sz w:val="24"/>
          <w:szCs w:val="24"/>
        </w:rPr>
      </w:pPr>
      <w:bookmarkStart w:id="0" w:name="_Toc175216248"/>
      <w:r w:rsidRPr="00A8780B">
        <w:rPr>
          <w:rFonts w:asciiTheme="minorBidi" w:hAnsiTheme="minorBidi" w:cstheme="minorBidi"/>
          <w:b/>
          <w:bCs/>
          <w:color w:val="auto"/>
          <w:sz w:val="24"/>
          <w:szCs w:val="24"/>
        </w:rPr>
        <w:lastRenderedPageBreak/>
        <w:t>Background</w:t>
      </w:r>
      <w:bookmarkEnd w:id="0"/>
    </w:p>
    <w:p w14:paraId="2D73472F" w14:textId="5C978361" w:rsidR="00BF4985" w:rsidRPr="00A8780B" w:rsidRDefault="00013388" w:rsidP="00BF4985">
      <w:pPr>
        <w:jc w:val="both"/>
        <w:rPr>
          <w:rFonts w:asciiTheme="minorBidi" w:hAnsiTheme="minorBidi"/>
        </w:rPr>
      </w:pPr>
      <w:r w:rsidRPr="00A8780B">
        <w:rPr>
          <w:rFonts w:asciiTheme="minorBidi" w:hAnsiTheme="minorBidi"/>
        </w:rPr>
        <w:t>This guideline is intended to guide accredited institutions in obtaining NIHS program accreditation for joint residency and fellowship programs. It addresses various aspects of program implementation, including governance, curriculum design, supervision, evaluation, and resource allocation, to help maintain high standards in graduate medical education.</w:t>
      </w:r>
    </w:p>
    <w:p w14:paraId="4FB24AD3" w14:textId="77777777" w:rsidR="00BF4985" w:rsidRPr="00A8780B" w:rsidRDefault="00BF4985" w:rsidP="00BF4985">
      <w:pPr>
        <w:jc w:val="both"/>
        <w:rPr>
          <w:rFonts w:asciiTheme="minorBidi" w:hAnsiTheme="minorBidi"/>
        </w:rPr>
      </w:pPr>
    </w:p>
    <w:p w14:paraId="4BD0A2D7" w14:textId="77777777" w:rsidR="00013388" w:rsidRPr="00A8780B" w:rsidRDefault="00013388" w:rsidP="00013388">
      <w:pPr>
        <w:pStyle w:val="Heading1"/>
        <w:rPr>
          <w:rFonts w:asciiTheme="minorBidi" w:hAnsiTheme="minorBidi" w:cstheme="minorBidi"/>
          <w:b/>
          <w:bCs/>
          <w:color w:val="auto"/>
          <w:sz w:val="24"/>
          <w:szCs w:val="24"/>
        </w:rPr>
      </w:pPr>
      <w:bookmarkStart w:id="1" w:name="_Toc175216249"/>
      <w:r w:rsidRPr="00A8780B">
        <w:rPr>
          <w:rFonts w:asciiTheme="minorBidi" w:hAnsiTheme="minorBidi" w:cstheme="minorBidi"/>
          <w:b/>
          <w:bCs/>
          <w:color w:val="auto"/>
          <w:sz w:val="24"/>
          <w:szCs w:val="24"/>
        </w:rPr>
        <w:t>Objective</w:t>
      </w:r>
      <w:bookmarkEnd w:id="1"/>
    </w:p>
    <w:p w14:paraId="7D32DC95" w14:textId="64026B06" w:rsidR="00013388" w:rsidRPr="00A8780B" w:rsidRDefault="00013388" w:rsidP="00013388">
      <w:pPr>
        <w:rPr>
          <w:rFonts w:asciiTheme="minorBidi" w:eastAsiaTheme="majorEastAsia" w:hAnsiTheme="minorBidi"/>
          <w:b/>
          <w:bCs/>
          <w:sz w:val="24"/>
          <w:szCs w:val="24"/>
        </w:rPr>
      </w:pPr>
      <w:r w:rsidRPr="00A8780B">
        <w:rPr>
          <w:rFonts w:asciiTheme="minorBidi" w:hAnsiTheme="minorBidi"/>
        </w:rPr>
        <w:t>The objective of this guideline is to outline the procedures for accrediting joint residency and fellowship programs conducted across multiple participating sites. It aims to ensure consistency in educational quality, adherence to accreditation standards, and the establishment of an optimal learning environment at all locations.</w:t>
      </w:r>
    </w:p>
    <w:p w14:paraId="367EBED7" w14:textId="7F33B1A4" w:rsidR="00FE1A21" w:rsidRPr="00A8780B" w:rsidRDefault="00FE1A21" w:rsidP="00013388">
      <w:pPr>
        <w:pStyle w:val="Heading1"/>
        <w:rPr>
          <w:rFonts w:asciiTheme="minorBidi" w:hAnsiTheme="minorBidi" w:cstheme="minorBidi"/>
          <w:b/>
          <w:bCs/>
          <w:color w:val="auto"/>
          <w:sz w:val="24"/>
          <w:szCs w:val="24"/>
        </w:rPr>
      </w:pPr>
      <w:bookmarkStart w:id="2" w:name="_Toc175216250"/>
      <w:r w:rsidRPr="00A8780B">
        <w:rPr>
          <w:rFonts w:asciiTheme="minorBidi" w:hAnsiTheme="minorBidi" w:cstheme="minorBidi"/>
          <w:b/>
          <w:bCs/>
          <w:color w:val="auto"/>
          <w:sz w:val="24"/>
          <w:szCs w:val="24"/>
        </w:rPr>
        <w:t>Definitions</w:t>
      </w:r>
      <w:bookmarkEnd w:id="2"/>
    </w:p>
    <w:tbl>
      <w:tblPr>
        <w:tblStyle w:val="TableGrid"/>
        <w:tblW w:w="0" w:type="auto"/>
        <w:tblLook w:val="04A0" w:firstRow="1" w:lastRow="0" w:firstColumn="1" w:lastColumn="0" w:noHBand="0" w:noVBand="1"/>
      </w:tblPr>
      <w:tblGrid>
        <w:gridCol w:w="3145"/>
        <w:gridCol w:w="6205"/>
      </w:tblGrid>
      <w:tr w:rsidR="004F2C77" w:rsidRPr="00A8780B" w14:paraId="5C2637C5" w14:textId="77777777" w:rsidTr="00610C01">
        <w:tc>
          <w:tcPr>
            <w:tcW w:w="3145" w:type="dxa"/>
            <w:shd w:val="clear" w:color="auto" w:fill="DAE9F7" w:themeFill="text2" w:themeFillTint="1A"/>
          </w:tcPr>
          <w:p w14:paraId="1FD815D7" w14:textId="5EA86C3E" w:rsidR="004F2C77" w:rsidRPr="00A8780B" w:rsidRDefault="004F2C77" w:rsidP="00FE1A21">
            <w:pPr>
              <w:rPr>
                <w:rFonts w:asciiTheme="minorBidi" w:hAnsiTheme="minorBidi"/>
                <w:b/>
                <w:bCs/>
              </w:rPr>
            </w:pPr>
            <w:r w:rsidRPr="00A8780B">
              <w:rPr>
                <w:rFonts w:asciiTheme="minorBidi" w:hAnsiTheme="minorBidi"/>
                <w:b/>
                <w:bCs/>
              </w:rPr>
              <w:t>Term</w:t>
            </w:r>
          </w:p>
        </w:tc>
        <w:tc>
          <w:tcPr>
            <w:tcW w:w="6205" w:type="dxa"/>
            <w:shd w:val="clear" w:color="auto" w:fill="DAE9F7" w:themeFill="text2" w:themeFillTint="1A"/>
          </w:tcPr>
          <w:p w14:paraId="3FCAA4EF" w14:textId="7EA71A20" w:rsidR="004F2C77" w:rsidRPr="00A8780B" w:rsidRDefault="004F2C77" w:rsidP="00FE1A21">
            <w:pPr>
              <w:rPr>
                <w:rFonts w:asciiTheme="minorBidi" w:hAnsiTheme="minorBidi"/>
                <w:b/>
                <w:bCs/>
              </w:rPr>
            </w:pPr>
            <w:r w:rsidRPr="00A8780B">
              <w:rPr>
                <w:rFonts w:asciiTheme="minorBidi" w:hAnsiTheme="minorBidi"/>
                <w:b/>
                <w:bCs/>
              </w:rPr>
              <w:t xml:space="preserve">Definition </w:t>
            </w:r>
          </w:p>
        </w:tc>
      </w:tr>
      <w:tr w:rsidR="004F2C77" w:rsidRPr="00A8780B" w14:paraId="72927243" w14:textId="77777777" w:rsidTr="000C4EF6">
        <w:trPr>
          <w:trHeight w:val="998"/>
        </w:trPr>
        <w:tc>
          <w:tcPr>
            <w:tcW w:w="3145" w:type="dxa"/>
            <w:vAlign w:val="center"/>
          </w:tcPr>
          <w:p w14:paraId="41365D54" w14:textId="0DC95891" w:rsidR="004F2C77" w:rsidRPr="00A8780B" w:rsidRDefault="004F2C77" w:rsidP="000C4EF6">
            <w:pPr>
              <w:rPr>
                <w:rFonts w:asciiTheme="minorBidi" w:hAnsiTheme="minorBidi"/>
                <w:b/>
                <w:bCs/>
              </w:rPr>
            </w:pPr>
            <w:r w:rsidRPr="00A8780B">
              <w:rPr>
                <w:rFonts w:asciiTheme="minorBidi" w:hAnsiTheme="minorBidi"/>
                <w:b/>
                <w:bCs/>
              </w:rPr>
              <w:t>Graduate Medical Education Committee (GMEC)</w:t>
            </w:r>
          </w:p>
        </w:tc>
        <w:tc>
          <w:tcPr>
            <w:tcW w:w="6205" w:type="dxa"/>
          </w:tcPr>
          <w:p w14:paraId="5DA73468" w14:textId="7207B9AB" w:rsidR="004F2C77" w:rsidRPr="00A8780B" w:rsidRDefault="004F2C77" w:rsidP="004F2C77">
            <w:pPr>
              <w:rPr>
                <w:rFonts w:asciiTheme="minorBidi" w:hAnsiTheme="minorBidi"/>
              </w:rPr>
            </w:pPr>
            <w:r w:rsidRPr="00A8780B">
              <w:rPr>
                <w:rFonts w:asciiTheme="minorBidi" w:hAnsiTheme="minorBidi"/>
              </w:rPr>
              <w:t>The committee appointed by the sponsoring institution to support the role of the DIO in overseeing all aspects pertaining to residency training.</w:t>
            </w:r>
          </w:p>
        </w:tc>
      </w:tr>
      <w:tr w:rsidR="004F2C77" w:rsidRPr="00A8780B" w14:paraId="09591896" w14:textId="77777777" w:rsidTr="000C4EF6">
        <w:trPr>
          <w:trHeight w:val="1259"/>
        </w:trPr>
        <w:tc>
          <w:tcPr>
            <w:tcW w:w="3145" w:type="dxa"/>
            <w:vAlign w:val="center"/>
          </w:tcPr>
          <w:p w14:paraId="77367789" w14:textId="00577D75" w:rsidR="004F2C77" w:rsidRPr="00A8780B" w:rsidRDefault="004F2C77" w:rsidP="000C4EF6">
            <w:pPr>
              <w:rPr>
                <w:rFonts w:asciiTheme="minorBidi" w:hAnsiTheme="minorBidi"/>
                <w:b/>
                <w:bCs/>
              </w:rPr>
            </w:pPr>
            <w:r w:rsidRPr="00A8780B">
              <w:rPr>
                <w:rFonts w:asciiTheme="minorBidi" w:hAnsiTheme="minorBidi"/>
                <w:b/>
                <w:bCs/>
              </w:rPr>
              <w:t>Designated Institutional Official (DIO)</w:t>
            </w:r>
          </w:p>
        </w:tc>
        <w:tc>
          <w:tcPr>
            <w:tcW w:w="6205" w:type="dxa"/>
          </w:tcPr>
          <w:p w14:paraId="7F94C511" w14:textId="199D97AF" w:rsidR="004F2C77" w:rsidRPr="00A8780B" w:rsidRDefault="004F2C77" w:rsidP="004F2C77">
            <w:pPr>
              <w:rPr>
                <w:rFonts w:asciiTheme="minorBidi" w:hAnsiTheme="minorBidi"/>
              </w:rPr>
            </w:pPr>
            <w:r w:rsidRPr="00A8780B">
              <w:rPr>
                <w:rFonts w:asciiTheme="minorBidi" w:hAnsiTheme="minorBidi"/>
              </w:rPr>
              <w:t>The designated institutional official is the qualified person appointed by the sponsoring institution as authorized and responsible for leadership and management for all aspects pertaining to the residency training.</w:t>
            </w:r>
          </w:p>
        </w:tc>
      </w:tr>
      <w:tr w:rsidR="004F2C77" w:rsidRPr="00A8780B" w14:paraId="0203F36A" w14:textId="77777777" w:rsidTr="000C4EF6">
        <w:trPr>
          <w:trHeight w:val="1691"/>
        </w:trPr>
        <w:tc>
          <w:tcPr>
            <w:tcW w:w="3145" w:type="dxa"/>
            <w:vAlign w:val="center"/>
          </w:tcPr>
          <w:p w14:paraId="3A10EC43" w14:textId="5F5B2E77" w:rsidR="004F2C77" w:rsidRPr="00A8780B" w:rsidRDefault="004F2C77" w:rsidP="000C4EF6">
            <w:pPr>
              <w:rPr>
                <w:rFonts w:asciiTheme="minorBidi" w:hAnsiTheme="minorBidi"/>
                <w:b/>
                <w:bCs/>
              </w:rPr>
            </w:pPr>
            <w:r w:rsidRPr="00A8780B">
              <w:rPr>
                <w:rFonts w:asciiTheme="minorBidi" w:hAnsiTheme="minorBidi"/>
                <w:b/>
                <w:bCs/>
              </w:rPr>
              <w:t>Sponsoring institution</w:t>
            </w:r>
          </w:p>
        </w:tc>
        <w:tc>
          <w:tcPr>
            <w:tcW w:w="6205" w:type="dxa"/>
          </w:tcPr>
          <w:p w14:paraId="3644A1E7" w14:textId="14BFBC52" w:rsidR="004F2C77" w:rsidRPr="00A8780B" w:rsidRDefault="004F2C77" w:rsidP="004F2C77">
            <w:pPr>
              <w:rPr>
                <w:rFonts w:asciiTheme="minorBidi" w:hAnsiTheme="minorBidi"/>
              </w:rPr>
            </w:pPr>
            <w:r w:rsidRPr="00A8780B">
              <w:rPr>
                <w:rFonts w:asciiTheme="minorBidi" w:hAnsiTheme="minorBidi"/>
              </w:rPr>
              <w:t>The organization or entity (Hospital, group of health facilities, a health department, a health system, etc.) that assumes the ultimate responsibility for a residency training experience. The sponsoring institution has the primary responsibility of applying for accreditation and committing resources and support to comply with accreditation requirements.</w:t>
            </w:r>
          </w:p>
        </w:tc>
      </w:tr>
      <w:tr w:rsidR="00F632A0" w:rsidRPr="00A8780B" w14:paraId="64FC0916" w14:textId="77777777" w:rsidTr="000C4EF6">
        <w:trPr>
          <w:trHeight w:val="890"/>
        </w:trPr>
        <w:tc>
          <w:tcPr>
            <w:tcW w:w="3145" w:type="dxa"/>
            <w:vAlign w:val="center"/>
          </w:tcPr>
          <w:p w14:paraId="75271C66" w14:textId="0BE03FC6" w:rsidR="00F632A0" w:rsidRPr="00A8780B" w:rsidRDefault="00526BE1" w:rsidP="000C4EF6">
            <w:pPr>
              <w:rPr>
                <w:rFonts w:asciiTheme="minorBidi" w:hAnsiTheme="minorBidi"/>
                <w:b/>
                <w:bCs/>
              </w:rPr>
            </w:pPr>
            <w:r w:rsidRPr="00A8780B">
              <w:rPr>
                <w:rFonts w:asciiTheme="minorBidi" w:hAnsiTheme="minorBidi"/>
                <w:b/>
                <w:bCs/>
              </w:rPr>
              <w:t>Joint</w:t>
            </w:r>
            <w:r w:rsidR="00F632A0" w:rsidRPr="00A8780B">
              <w:rPr>
                <w:rFonts w:asciiTheme="minorBidi" w:hAnsiTheme="minorBidi"/>
                <w:b/>
                <w:bCs/>
              </w:rPr>
              <w:t xml:space="preserve"> Program </w:t>
            </w:r>
          </w:p>
        </w:tc>
        <w:tc>
          <w:tcPr>
            <w:tcW w:w="6205" w:type="dxa"/>
          </w:tcPr>
          <w:p w14:paraId="78796A9D" w14:textId="011D4315" w:rsidR="00F632A0" w:rsidRPr="00A8780B" w:rsidRDefault="00420F41" w:rsidP="00F632A0">
            <w:pPr>
              <w:rPr>
                <w:rFonts w:asciiTheme="minorBidi" w:hAnsiTheme="minorBidi"/>
              </w:rPr>
            </w:pPr>
            <w:r w:rsidRPr="00A8780B">
              <w:rPr>
                <w:rFonts w:asciiTheme="minorBidi" w:hAnsiTheme="minorBidi"/>
              </w:rPr>
              <w:t>R</w:t>
            </w:r>
            <w:r w:rsidR="00F632A0" w:rsidRPr="00A8780B">
              <w:rPr>
                <w:rFonts w:asciiTheme="minorBidi" w:hAnsiTheme="minorBidi"/>
              </w:rPr>
              <w:t xml:space="preserve">esidency or </w:t>
            </w:r>
            <w:r w:rsidRPr="00A8780B">
              <w:rPr>
                <w:rFonts w:asciiTheme="minorBidi" w:hAnsiTheme="minorBidi"/>
              </w:rPr>
              <w:t>F</w:t>
            </w:r>
            <w:r w:rsidR="00F632A0" w:rsidRPr="00A8780B">
              <w:rPr>
                <w:rFonts w:asciiTheme="minorBidi" w:hAnsiTheme="minorBidi"/>
              </w:rPr>
              <w:t>ellowship training programs that offer a coordinated educational experience across multiple sites. Trainees rotate through various facilities, with consistent curriculum, supervision, and evaluation across all locations, ensuring uniform education and competency development.</w:t>
            </w:r>
          </w:p>
        </w:tc>
      </w:tr>
      <w:tr w:rsidR="004F2C77" w:rsidRPr="00A8780B" w14:paraId="100106BF" w14:textId="77777777" w:rsidTr="000C4EF6">
        <w:trPr>
          <w:trHeight w:val="890"/>
        </w:trPr>
        <w:tc>
          <w:tcPr>
            <w:tcW w:w="3145" w:type="dxa"/>
            <w:vAlign w:val="center"/>
          </w:tcPr>
          <w:p w14:paraId="6C9DCA79" w14:textId="3774AF9F" w:rsidR="004F2C77" w:rsidRPr="00A8780B" w:rsidRDefault="004F2C77" w:rsidP="000C4EF6">
            <w:pPr>
              <w:rPr>
                <w:rFonts w:asciiTheme="minorBidi" w:hAnsiTheme="minorBidi"/>
                <w:b/>
                <w:bCs/>
              </w:rPr>
            </w:pPr>
            <w:r w:rsidRPr="00A8780B">
              <w:rPr>
                <w:rFonts w:asciiTheme="minorBidi" w:hAnsiTheme="minorBidi"/>
                <w:b/>
                <w:bCs/>
              </w:rPr>
              <w:t>Participating Site</w:t>
            </w:r>
          </w:p>
        </w:tc>
        <w:tc>
          <w:tcPr>
            <w:tcW w:w="6205" w:type="dxa"/>
          </w:tcPr>
          <w:p w14:paraId="7C6D8129" w14:textId="50C8A5CA" w:rsidR="004F2C77" w:rsidRPr="00A8780B" w:rsidRDefault="004F2C77" w:rsidP="00FE1A21">
            <w:pPr>
              <w:rPr>
                <w:rFonts w:asciiTheme="minorBidi" w:hAnsiTheme="minorBidi"/>
                <w:b/>
                <w:bCs/>
              </w:rPr>
            </w:pPr>
            <w:r w:rsidRPr="00A8780B">
              <w:rPr>
                <w:rFonts w:asciiTheme="minorBidi" w:hAnsiTheme="minorBidi"/>
              </w:rPr>
              <w:t>A hospital or health facility affiliated to a training center through special agreement and taking part in residency training</w:t>
            </w:r>
          </w:p>
        </w:tc>
      </w:tr>
      <w:tr w:rsidR="004F2C77" w:rsidRPr="00A8780B" w14:paraId="1132A48E" w14:textId="77777777" w:rsidTr="000C4EF6">
        <w:tc>
          <w:tcPr>
            <w:tcW w:w="3145" w:type="dxa"/>
            <w:vAlign w:val="center"/>
          </w:tcPr>
          <w:p w14:paraId="126C82D0" w14:textId="6BD08F63" w:rsidR="004F2C77" w:rsidRPr="00A8780B" w:rsidRDefault="004F2C77" w:rsidP="000C4EF6">
            <w:pPr>
              <w:rPr>
                <w:rFonts w:asciiTheme="minorBidi" w:hAnsiTheme="minorBidi"/>
                <w:b/>
                <w:bCs/>
              </w:rPr>
            </w:pPr>
            <w:r w:rsidRPr="00A8780B">
              <w:rPr>
                <w:rFonts w:asciiTheme="minorBidi" w:hAnsiTheme="minorBidi"/>
                <w:b/>
                <w:bCs/>
              </w:rPr>
              <w:t>Primary Sit</w:t>
            </w:r>
            <w:r w:rsidR="000C4EF6" w:rsidRPr="00A8780B">
              <w:rPr>
                <w:rFonts w:asciiTheme="minorBidi" w:hAnsiTheme="minorBidi"/>
                <w:b/>
                <w:bCs/>
              </w:rPr>
              <w:t>e</w:t>
            </w:r>
          </w:p>
        </w:tc>
        <w:tc>
          <w:tcPr>
            <w:tcW w:w="6205" w:type="dxa"/>
          </w:tcPr>
          <w:p w14:paraId="67E32C98" w14:textId="35AF13CF" w:rsidR="004F2C77" w:rsidRPr="00A8780B" w:rsidRDefault="004F2C77" w:rsidP="004F2C77">
            <w:pPr>
              <w:rPr>
                <w:rFonts w:asciiTheme="minorBidi" w:hAnsiTheme="minorBidi"/>
              </w:rPr>
            </w:pPr>
            <w:r w:rsidRPr="00A8780B">
              <w:rPr>
                <w:rFonts w:asciiTheme="minorBidi" w:hAnsiTheme="minorBidi"/>
              </w:rPr>
              <w:t>The main institution responsible for the administration and oversight of the residency or fellowship program</w:t>
            </w:r>
          </w:p>
        </w:tc>
      </w:tr>
      <w:tr w:rsidR="004F2C77" w:rsidRPr="00A8780B" w14:paraId="280A592C" w14:textId="77777777" w:rsidTr="000C4EF6">
        <w:trPr>
          <w:trHeight w:val="1160"/>
        </w:trPr>
        <w:tc>
          <w:tcPr>
            <w:tcW w:w="3145" w:type="dxa"/>
            <w:vAlign w:val="center"/>
          </w:tcPr>
          <w:p w14:paraId="5EDF8D30" w14:textId="12B4E6F9" w:rsidR="004F2C77" w:rsidRPr="00A8780B" w:rsidRDefault="004F2C77" w:rsidP="000C4EF6">
            <w:pPr>
              <w:rPr>
                <w:rFonts w:asciiTheme="minorBidi" w:hAnsiTheme="minorBidi"/>
                <w:b/>
                <w:bCs/>
              </w:rPr>
            </w:pPr>
            <w:r w:rsidRPr="00A8780B">
              <w:rPr>
                <w:rFonts w:asciiTheme="minorBidi" w:hAnsiTheme="minorBidi"/>
                <w:b/>
                <w:bCs/>
              </w:rPr>
              <w:t>Program Director</w:t>
            </w:r>
          </w:p>
        </w:tc>
        <w:tc>
          <w:tcPr>
            <w:tcW w:w="6205" w:type="dxa"/>
          </w:tcPr>
          <w:p w14:paraId="41384DB8" w14:textId="723F045B" w:rsidR="004F2C77" w:rsidRPr="00A8780B" w:rsidRDefault="004F2C77" w:rsidP="004F2C77">
            <w:pPr>
              <w:rPr>
                <w:rFonts w:asciiTheme="minorBidi" w:hAnsiTheme="minorBidi"/>
              </w:rPr>
            </w:pPr>
            <w:r w:rsidRPr="00A8780B">
              <w:rPr>
                <w:rFonts w:asciiTheme="minorBidi" w:hAnsiTheme="minorBidi"/>
              </w:rPr>
              <w:t>The program director (PD) is the qualified person designated with authority, responsibility, and accountability of managing and coordinating a specific (certain specialty) residency program</w:t>
            </w:r>
          </w:p>
        </w:tc>
      </w:tr>
      <w:tr w:rsidR="004F2C77" w:rsidRPr="00A8780B" w14:paraId="5960FB63" w14:textId="77777777" w:rsidTr="000C4EF6">
        <w:trPr>
          <w:trHeight w:val="701"/>
        </w:trPr>
        <w:tc>
          <w:tcPr>
            <w:tcW w:w="3145" w:type="dxa"/>
            <w:vAlign w:val="center"/>
          </w:tcPr>
          <w:p w14:paraId="51006A43" w14:textId="3EDC3BC6" w:rsidR="004F2C77" w:rsidRPr="00A8780B" w:rsidRDefault="004F2C77" w:rsidP="000C4EF6">
            <w:pPr>
              <w:rPr>
                <w:rFonts w:asciiTheme="minorBidi" w:hAnsiTheme="minorBidi"/>
                <w:b/>
                <w:bCs/>
              </w:rPr>
            </w:pPr>
            <w:r w:rsidRPr="00A8780B">
              <w:rPr>
                <w:rFonts w:asciiTheme="minorBidi" w:hAnsiTheme="minorBidi"/>
                <w:b/>
                <w:bCs/>
              </w:rPr>
              <w:lastRenderedPageBreak/>
              <w:t>Site Director</w:t>
            </w:r>
          </w:p>
        </w:tc>
        <w:tc>
          <w:tcPr>
            <w:tcW w:w="6205" w:type="dxa"/>
          </w:tcPr>
          <w:p w14:paraId="17F97DEF" w14:textId="723A4DE8" w:rsidR="004F2C77" w:rsidRPr="00A8780B" w:rsidRDefault="004F2C77" w:rsidP="004F2C77">
            <w:pPr>
              <w:rPr>
                <w:rFonts w:asciiTheme="minorBidi" w:hAnsiTheme="minorBidi"/>
              </w:rPr>
            </w:pPr>
            <w:r w:rsidRPr="00A8780B">
              <w:rPr>
                <w:rFonts w:asciiTheme="minorBidi" w:hAnsiTheme="minorBidi"/>
              </w:rPr>
              <w:t>The designated individual responsible for overseeing the program at a specific participating site.</w:t>
            </w:r>
          </w:p>
        </w:tc>
      </w:tr>
      <w:tr w:rsidR="004F2C77" w:rsidRPr="00A8780B" w14:paraId="668358BC" w14:textId="77777777" w:rsidTr="000C4EF6">
        <w:trPr>
          <w:trHeight w:val="719"/>
        </w:trPr>
        <w:tc>
          <w:tcPr>
            <w:tcW w:w="3145" w:type="dxa"/>
            <w:vAlign w:val="center"/>
          </w:tcPr>
          <w:p w14:paraId="5FAB6AEC" w14:textId="085EFB52" w:rsidR="004F2C77" w:rsidRPr="00A8780B" w:rsidRDefault="004F2C77" w:rsidP="000C4EF6">
            <w:pPr>
              <w:rPr>
                <w:rFonts w:asciiTheme="minorBidi" w:hAnsiTheme="minorBidi"/>
                <w:b/>
                <w:bCs/>
              </w:rPr>
            </w:pPr>
            <w:r w:rsidRPr="00A8780B">
              <w:rPr>
                <w:rFonts w:asciiTheme="minorBidi" w:hAnsiTheme="minorBidi"/>
                <w:b/>
                <w:bCs/>
              </w:rPr>
              <w:t>Residents</w:t>
            </w:r>
          </w:p>
        </w:tc>
        <w:tc>
          <w:tcPr>
            <w:tcW w:w="6205" w:type="dxa"/>
          </w:tcPr>
          <w:p w14:paraId="4E31C5F0" w14:textId="60444928" w:rsidR="004F2C77" w:rsidRPr="00A8780B" w:rsidRDefault="004F2C77" w:rsidP="004F2C77">
            <w:pPr>
              <w:rPr>
                <w:rFonts w:asciiTheme="minorBidi" w:hAnsiTheme="minorBidi"/>
              </w:rPr>
            </w:pPr>
            <w:r w:rsidRPr="00A8780B">
              <w:rPr>
                <w:rFonts w:asciiTheme="minorBidi" w:hAnsiTheme="minorBidi"/>
              </w:rPr>
              <w:t>Individual candidates enrolled for training in a residency program leading to board qualification.</w:t>
            </w:r>
          </w:p>
        </w:tc>
      </w:tr>
      <w:tr w:rsidR="004F2C77" w:rsidRPr="00A8780B" w14:paraId="17347117" w14:textId="77777777" w:rsidTr="000C4EF6">
        <w:trPr>
          <w:trHeight w:val="701"/>
        </w:trPr>
        <w:tc>
          <w:tcPr>
            <w:tcW w:w="3145" w:type="dxa"/>
            <w:vAlign w:val="center"/>
          </w:tcPr>
          <w:p w14:paraId="0221C499" w14:textId="687FC2BF" w:rsidR="004F2C77" w:rsidRPr="00A8780B" w:rsidRDefault="004F2C77" w:rsidP="000C4EF6">
            <w:pPr>
              <w:rPr>
                <w:rFonts w:asciiTheme="minorBidi" w:hAnsiTheme="minorBidi"/>
                <w:b/>
                <w:bCs/>
              </w:rPr>
            </w:pPr>
            <w:r w:rsidRPr="00A8780B">
              <w:rPr>
                <w:rFonts w:asciiTheme="minorBidi" w:hAnsiTheme="minorBidi"/>
                <w:b/>
                <w:bCs/>
              </w:rPr>
              <w:t>Fellows</w:t>
            </w:r>
          </w:p>
        </w:tc>
        <w:tc>
          <w:tcPr>
            <w:tcW w:w="6205" w:type="dxa"/>
          </w:tcPr>
          <w:p w14:paraId="647FD5A8" w14:textId="3C46F1C4" w:rsidR="004F2C77" w:rsidRPr="00A8780B" w:rsidRDefault="004F2C77" w:rsidP="004F2C77">
            <w:pPr>
              <w:rPr>
                <w:rFonts w:asciiTheme="minorBidi" w:hAnsiTheme="minorBidi"/>
              </w:rPr>
            </w:pPr>
            <w:r w:rsidRPr="00A8780B">
              <w:rPr>
                <w:rFonts w:asciiTheme="minorBidi" w:hAnsiTheme="minorBidi"/>
              </w:rPr>
              <w:t>individual candidates enrolled for training in a subspecialty program leading to fellowship qualification.</w:t>
            </w:r>
          </w:p>
        </w:tc>
      </w:tr>
      <w:tr w:rsidR="00C00C9B" w:rsidRPr="00A8780B" w14:paraId="2CD883EF" w14:textId="77777777" w:rsidTr="000C4EF6">
        <w:trPr>
          <w:trHeight w:val="899"/>
        </w:trPr>
        <w:tc>
          <w:tcPr>
            <w:tcW w:w="3145" w:type="dxa"/>
            <w:vAlign w:val="center"/>
          </w:tcPr>
          <w:p w14:paraId="5D99B65C" w14:textId="07E8634E" w:rsidR="00C00C9B" w:rsidRPr="00A8780B" w:rsidRDefault="00C00C9B" w:rsidP="000C4EF6">
            <w:pPr>
              <w:rPr>
                <w:rFonts w:asciiTheme="minorBidi" w:hAnsiTheme="minorBidi"/>
                <w:b/>
                <w:bCs/>
              </w:rPr>
            </w:pPr>
            <w:r w:rsidRPr="00A8780B">
              <w:rPr>
                <w:rFonts w:asciiTheme="minorBidi" w:hAnsiTheme="minorBidi"/>
                <w:b/>
                <w:bCs/>
              </w:rPr>
              <w:t>Training environment</w:t>
            </w:r>
          </w:p>
        </w:tc>
        <w:tc>
          <w:tcPr>
            <w:tcW w:w="6205" w:type="dxa"/>
          </w:tcPr>
          <w:p w14:paraId="6CF5CD79" w14:textId="6EA81E2F" w:rsidR="00C00C9B" w:rsidRPr="00A8780B" w:rsidRDefault="003165D8" w:rsidP="004F2C77">
            <w:pPr>
              <w:rPr>
                <w:rFonts w:asciiTheme="minorBidi" w:hAnsiTheme="minorBidi"/>
              </w:rPr>
            </w:pPr>
            <w:r w:rsidRPr="00A8780B">
              <w:rPr>
                <w:rFonts w:asciiTheme="minorBidi" w:hAnsiTheme="minorBidi"/>
              </w:rPr>
              <w:t>The diverse context for trainee development including physical locations, learning resources, clinical experiences and institutional culture.</w:t>
            </w:r>
          </w:p>
        </w:tc>
      </w:tr>
      <w:tr w:rsidR="00C00C9B" w:rsidRPr="00A8780B" w14:paraId="2D826835" w14:textId="77777777" w:rsidTr="000C4EF6">
        <w:trPr>
          <w:trHeight w:val="845"/>
        </w:trPr>
        <w:tc>
          <w:tcPr>
            <w:tcW w:w="3145" w:type="dxa"/>
            <w:vAlign w:val="center"/>
          </w:tcPr>
          <w:p w14:paraId="2E48966F" w14:textId="556C2046" w:rsidR="00C00C9B" w:rsidRPr="00A8780B" w:rsidRDefault="003165D8" w:rsidP="000C4EF6">
            <w:pPr>
              <w:rPr>
                <w:rFonts w:asciiTheme="minorBidi" w:hAnsiTheme="minorBidi"/>
                <w:b/>
                <w:bCs/>
              </w:rPr>
            </w:pPr>
            <w:r w:rsidRPr="00A8780B">
              <w:rPr>
                <w:rFonts w:asciiTheme="minorBidi" w:hAnsiTheme="minorBidi"/>
                <w:b/>
                <w:bCs/>
              </w:rPr>
              <w:t>Training governance</w:t>
            </w:r>
          </w:p>
        </w:tc>
        <w:tc>
          <w:tcPr>
            <w:tcW w:w="6205" w:type="dxa"/>
          </w:tcPr>
          <w:p w14:paraId="31BFFE10" w14:textId="5BD535A5" w:rsidR="00C00C9B" w:rsidRPr="00A8780B" w:rsidRDefault="003165D8" w:rsidP="004F2C77">
            <w:pPr>
              <w:rPr>
                <w:rFonts w:asciiTheme="minorBidi" w:hAnsiTheme="minorBidi"/>
              </w:rPr>
            </w:pPr>
            <w:r w:rsidRPr="00A8780B">
              <w:rPr>
                <w:rFonts w:asciiTheme="minorBidi" w:hAnsiTheme="minorBidi"/>
              </w:rPr>
              <w:t>The system of structures, relationships, and processes involved in oversight and maintenance of high-quality residency training experience.</w:t>
            </w:r>
          </w:p>
        </w:tc>
      </w:tr>
      <w:tr w:rsidR="00C00C9B" w:rsidRPr="00A8780B" w14:paraId="72DD9E60" w14:textId="77777777" w:rsidTr="000C4EF6">
        <w:tc>
          <w:tcPr>
            <w:tcW w:w="3145" w:type="dxa"/>
            <w:vAlign w:val="center"/>
          </w:tcPr>
          <w:p w14:paraId="1EA2302D" w14:textId="550FDF8A" w:rsidR="00C00C9B" w:rsidRPr="00A8780B" w:rsidRDefault="00F21DAB" w:rsidP="000C4EF6">
            <w:pPr>
              <w:rPr>
                <w:rFonts w:asciiTheme="minorBidi" w:hAnsiTheme="minorBidi"/>
                <w:b/>
                <w:bCs/>
              </w:rPr>
            </w:pPr>
            <w:r w:rsidRPr="00A8780B">
              <w:rPr>
                <w:rFonts w:asciiTheme="minorBidi" w:hAnsiTheme="minorBidi"/>
                <w:b/>
                <w:bCs/>
              </w:rPr>
              <w:t>Continuous improvement</w:t>
            </w:r>
          </w:p>
        </w:tc>
        <w:tc>
          <w:tcPr>
            <w:tcW w:w="6205" w:type="dxa"/>
          </w:tcPr>
          <w:p w14:paraId="4F1EFD06" w14:textId="518BDF10" w:rsidR="00C00C9B" w:rsidRPr="00A8780B" w:rsidRDefault="00AC33E0" w:rsidP="00C00C9B">
            <w:pPr>
              <w:rPr>
                <w:rFonts w:asciiTheme="minorBidi" w:hAnsiTheme="minorBidi"/>
              </w:rPr>
            </w:pPr>
            <w:r w:rsidRPr="00A8780B">
              <w:rPr>
                <w:rFonts w:asciiTheme="minorBidi" w:hAnsiTheme="minorBidi"/>
              </w:rPr>
              <w:t>A systematic approach to continuously review, update, and improve residency training experience to enhance quality and ensure effective outcomes.</w:t>
            </w:r>
          </w:p>
        </w:tc>
      </w:tr>
    </w:tbl>
    <w:p w14:paraId="15DF867C" w14:textId="77777777" w:rsidR="006D68B0" w:rsidRPr="00A8780B" w:rsidRDefault="006D68B0" w:rsidP="006D68B0">
      <w:pPr>
        <w:rPr>
          <w:rFonts w:asciiTheme="minorBidi" w:hAnsiTheme="minorBidi"/>
        </w:rPr>
      </w:pPr>
    </w:p>
    <w:p w14:paraId="1CAFFFC3" w14:textId="77777777" w:rsidR="004F35A4" w:rsidRPr="00A8780B" w:rsidRDefault="004F35A4" w:rsidP="004F35A4">
      <w:pPr>
        <w:rPr>
          <w:rFonts w:asciiTheme="minorBidi" w:hAnsiTheme="minorBidi"/>
        </w:rPr>
      </w:pPr>
      <w:r w:rsidRPr="00A8780B">
        <w:rPr>
          <w:rFonts w:asciiTheme="minorBidi" w:hAnsiTheme="minorBidi"/>
          <w:b/>
          <w:bCs/>
        </w:rPr>
        <w:t>NIHS</w:t>
      </w:r>
      <w:r w:rsidRPr="00A8780B">
        <w:rPr>
          <w:rFonts w:asciiTheme="minorBidi" w:hAnsiTheme="minorBidi"/>
        </w:rPr>
        <w:t xml:space="preserve"> provides specific guidelines for the governance of joint residency programs to ensure high standards of education and patient care. The governance of a joint residency program typically involves collaboration between multiple sponsoring institutions or departments. Key governance elements include:</w:t>
      </w:r>
    </w:p>
    <w:p w14:paraId="3CED4779" w14:textId="77777777" w:rsidR="00B83E44" w:rsidRPr="00A8780B" w:rsidRDefault="00B83E44" w:rsidP="004F35A4">
      <w:pPr>
        <w:rPr>
          <w:rFonts w:asciiTheme="minorBidi" w:hAnsiTheme="minorBidi"/>
        </w:rPr>
      </w:pPr>
    </w:p>
    <w:p w14:paraId="26F39D54" w14:textId="77777777" w:rsidR="004F35A4" w:rsidRPr="00A8780B" w:rsidRDefault="004F35A4" w:rsidP="004F35A4">
      <w:pPr>
        <w:rPr>
          <w:rFonts w:asciiTheme="minorBidi" w:hAnsiTheme="minorBidi"/>
          <w:b/>
          <w:bCs/>
        </w:rPr>
      </w:pPr>
      <w:r w:rsidRPr="00A8780B">
        <w:rPr>
          <w:rFonts w:asciiTheme="minorBidi" w:hAnsiTheme="minorBidi"/>
          <w:b/>
          <w:bCs/>
        </w:rPr>
        <w:t>1. Sponsoring Institutions</w:t>
      </w:r>
    </w:p>
    <w:p w14:paraId="6AE76FE9" w14:textId="77777777" w:rsidR="004F35A4" w:rsidRPr="00A8780B" w:rsidRDefault="004F35A4" w:rsidP="00470934">
      <w:pPr>
        <w:numPr>
          <w:ilvl w:val="0"/>
          <w:numId w:val="2"/>
        </w:numPr>
        <w:rPr>
          <w:rFonts w:asciiTheme="minorBidi" w:hAnsiTheme="minorBidi"/>
        </w:rPr>
      </w:pPr>
      <w:r w:rsidRPr="00A8780B">
        <w:rPr>
          <w:rFonts w:asciiTheme="minorBidi" w:hAnsiTheme="minorBidi"/>
        </w:rPr>
        <w:t xml:space="preserve">Joint residency programs must be sponsored by one or more NIHA accredited institutions. There is usually a </w:t>
      </w:r>
      <w:r w:rsidRPr="00A8780B">
        <w:rPr>
          <w:rFonts w:asciiTheme="minorBidi" w:hAnsiTheme="minorBidi"/>
          <w:b/>
          <w:bCs/>
        </w:rPr>
        <w:t>primary sponsor</w:t>
      </w:r>
      <w:r w:rsidRPr="00A8780B">
        <w:rPr>
          <w:rFonts w:asciiTheme="minorBidi" w:hAnsiTheme="minorBidi"/>
        </w:rPr>
        <w:t xml:space="preserve"> responsible for oversight and coordination.</w:t>
      </w:r>
    </w:p>
    <w:p w14:paraId="7CCC8171" w14:textId="09249551" w:rsidR="004F35A4" w:rsidRPr="00A8780B" w:rsidRDefault="004F35A4" w:rsidP="00470934">
      <w:pPr>
        <w:numPr>
          <w:ilvl w:val="0"/>
          <w:numId w:val="2"/>
        </w:numPr>
        <w:rPr>
          <w:rFonts w:asciiTheme="minorBidi" w:hAnsiTheme="minorBidi"/>
        </w:rPr>
      </w:pPr>
      <w:r w:rsidRPr="00A8780B">
        <w:rPr>
          <w:rFonts w:asciiTheme="minorBidi" w:hAnsiTheme="minorBidi"/>
          <w:b/>
          <w:bCs/>
        </w:rPr>
        <w:t>Affiliated institutions</w:t>
      </w:r>
      <w:r w:rsidRPr="00A8780B">
        <w:rPr>
          <w:rFonts w:asciiTheme="minorBidi" w:hAnsiTheme="minorBidi"/>
        </w:rPr>
        <w:t xml:space="preserve"> may participate in providing clinical education, but the primary institution holds responsibility for maintaining program standards and compliance with NIHS requirements.</w:t>
      </w:r>
    </w:p>
    <w:p w14:paraId="1C9ADEB5" w14:textId="77777777" w:rsidR="008116CF" w:rsidRPr="00A8780B" w:rsidRDefault="008116CF" w:rsidP="008116CF">
      <w:pPr>
        <w:ind w:left="720"/>
        <w:rPr>
          <w:rFonts w:asciiTheme="minorBidi" w:hAnsiTheme="minorBidi"/>
        </w:rPr>
      </w:pPr>
    </w:p>
    <w:p w14:paraId="236E21C2" w14:textId="77777777" w:rsidR="0069675E" w:rsidRPr="00A8780B" w:rsidRDefault="0069675E" w:rsidP="0069675E">
      <w:pPr>
        <w:rPr>
          <w:rFonts w:asciiTheme="minorBidi" w:hAnsiTheme="minorBidi"/>
          <w:b/>
          <w:bCs/>
        </w:rPr>
      </w:pPr>
      <w:r w:rsidRPr="00A8780B">
        <w:rPr>
          <w:rFonts w:asciiTheme="minorBidi" w:hAnsiTheme="minorBidi"/>
          <w:b/>
          <w:bCs/>
        </w:rPr>
        <w:t>2. Program Leadership</w:t>
      </w:r>
    </w:p>
    <w:p w14:paraId="5C374B67" w14:textId="2E6417CA" w:rsidR="0041697C" w:rsidRPr="00A8780B" w:rsidRDefault="0041697C" w:rsidP="00470934">
      <w:pPr>
        <w:pStyle w:val="ListParagraph"/>
        <w:numPr>
          <w:ilvl w:val="0"/>
          <w:numId w:val="3"/>
        </w:numPr>
        <w:rPr>
          <w:rFonts w:asciiTheme="minorBidi" w:hAnsiTheme="minorBidi"/>
        </w:rPr>
      </w:pPr>
      <w:r w:rsidRPr="00A8780B">
        <w:rPr>
          <w:rFonts w:asciiTheme="minorBidi" w:hAnsiTheme="minorBidi"/>
        </w:rPr>
        <w:t xml:space="preserve">The </w:t>
      </w:r>
      <w:r w:rsidRPr="00A8780B">
        <w:rPr>
          <w:rFonts w:asciiTheme="minorBidi" w:hAnsiTheme="minorBidi"/>
          <w:b/>
          <w:bCs/>
        </w:rPr>
        <w:t>DIO</w:t>
      </w:r>
      <w:r w:rsidRPr="00A8780B">
        <w:rPr>
          <w:rFonts w:asciiTheme="minorBidi" w:hAnsiTheme="minorBidi"/>
        </w:rPr>
        <w:t xml:space="preserve"> of the primary sponsoring institution should take responsibility for the program, as this aligns with the NIHS guideline that the primary institution holds ultimate responsibility for maintaining program standards and compliance.</w:t>
      </w:r>
    </w:p>
    <w:p w14:paraId="5311C247" w14:textId="3DEA2FC4" w:rsidR="0069675E" w:rsidRPr="00A8780B" w:rsidRDefault="0069675E" w:rsidP="00470934">
      <w:pPr>
        <w:numPr>
          <w:ilvl w:val="0"/>
          <w:numId w:val="3"/>
        </w:numPr>
        <w:rPr>
          <w:rFonts w:asciiTheme="minorBidi" w:hAnsiTheme="minorBidi"/>
        </w:rPr>
      </w:pPr>
      <w:r w:rsidRPr="00A8780B">
        <w:rPr>
          <w:rFonts w:asciiTheme="minorBidi" w:hAnsiTheme="minorBidi"/>
        </w:rPr>
        <w:t xml:space="preserve">The program must have a </w:t>
      </w:r>
      <w:r w:rsidRPr="00A8780B">
        <w:rPr>
          <w:rFonts w:asciiTheme="minorBidi" w:hAnsiTheme="minorBidi"/>
          <w:b/>
          <w:bCs/>
        </w:rPr>
        <w:t>Program Director</w:t>
      </w:r>
      <w:r w:rsidRPr="00A8780B">
        <w:rPr>
          <w:rFonts w:asciiTheme="minorBidi" w:hAnsiTheme="minorBidi"/>
        </w:rPr>
        <w:t xml:space="preserve"> who has ultimate responsibility for the program. This person ensures that the residency program meets NIHS standards and oversees the educational and clinical training.</w:t>
      </w:r>
    </w:p>
    <w:p w14:paraId="646FA742" w14:textId="63AE14EC" w:rsidR="0069675E" w:rsidRPr="00A8780B" w:rsidRDefault="0069675E" w:rsidP="00470934">
      <w:pPr>
        <w:numPr>
          <w:ilvl w:val="0"/>
          <w:numId w:val="3"/>
        </w:numPr>
        <w:rPr>
          <w:rFonts w:asciiTheme="minorBidi" w:hAnsiTheme="minorBidi"/>
        </w:rPr>
      </w:pPr>
      <w:r w:rsidRPr="00A8780B">
        <w:rPr>
          <w:rFonts w:asciiTheme="minorBidi" w:hAnsiTheme="minorBidi"/>
        </w:rPr>
        <w:t>In a joint program, there may be a director or an associate program director from the affiliated institution to help manage the program, but the Program Director is responsible for all aspects of the program’s administration.</w:t>
      </w:r>
    </w:p>
    <w:p w14:paraId="36B3DD1D" w14:textId="77777777" w:rsidR="0069675E" w:rsidRPr="00A8780B" w:rsidRDefault="0069675E" w:rsidP="0069675E">
      <w:pPr>
        <w:ind w:left="720"/>
        <w:rPr>
          <w:rFonts w:asciiTheme="minorBidi" w:hAnsiTheme="minorBidi"/>
        </w:rPr>
      </w:pPr>
    </w:p>
    <w:p w14:paraId="525D1B93" w14:textId="77777777" w:rsidR="008116CF" w:rsidRPr="00A8780B" w:rsidRDefault="008116CF" w:rsidP="0069675E">
      <w:pPr>
        <w:ind w:left="720"/>
        <w:rPr>
          <w:rFonts w:asciiTheme="minorBidi" w:hAnsiTheme="minorBidi"/>
        </w:rPr>
      </w:pPr>
    </w:p>
    <w:p w14:paraId="7613929A" w14:textId="77777777" w:rsidR="0069675E" w:rsidRPr="00A8780B" w:rsidRDefault="0069675E" w:rsidP="0069675E">
      <w:pPr>
        <w:rPr>
          <w:rFonts w:asciiTheme="minorBidi" w:hAnsiTheme="minorBidi"/>
          <w:b/>
          <w:bCs/>
        </w:rPr>
      </w:pPr>
      <w:r w:rsidRPr="00A8780B">
        <w:rPr>
          <w:rFonts w:asciiTheme="minorBidi" w:hAnsiTheme="minorBidi"/>
          <w:b/>
          <w:bCs/>
        </w:rPr>
        <w:t>3. Governance Structure</w:t>
      </w:r>
    </w:p>
    <w:p w14:paraId="67EC1FF2" w14:textId="27E2ED5C" w:rsidR="0069675E" w:rsidRPr="00A8780B" w:rsidRDefault="0069675E" w:rsidP="00470934">
      <w:pPr>
        <w:numPr>
          <w:ilvl w:val="0"/>
          <w:numId w:val="4"/>
        </w:numPr>
        <w:rPr>
          <w:rFonts w:asciiTheme="minorBidi" w:hAnsiTheme="minorBidi"/>
        </w:rPr>
      </w:pPr>
      <w:r w:rsidRPr="00A8780B">
        <w:rPr>
          <w:rFonts w:asciiTheme="minorBidi" w:hAnsiTheme="minorBidi"/>
        </w:rPr>
        <w:t xml:space="preserve">A </w:t>
      </w:r>
      <w:r w:rsidRPr="00A8780B">
        <w:rPr>
          <w:rFonts w:asciiTheme="minorBidi" w:hAnsiTheme="minorBidi"/>
          <w:b/>
          <w:bCs/>
        </w:rPr>
        <w:t>Joint Residency/Fellowship Program Committee (JRPC)</w:t>
      </w:r>
      <w:r w:rsidRPr="00A8780B">
        <w:rPr>
          <w:rFonts w:asciiTheme="minorBidi" w:hAnsiTheme="minorBidi"/>
        </w:rPr>
        <w:t xml:space="preserve"> may be formed to facilitate governance. This committee often consists of </w:t>
      </w:r>
      <w:proofErr w:type="gramStart"/>
      <w:r w:rsidR="00F343AB">
        <w:rPr>
          <w:rFonts w:asciiTheme="minorBidi" w:hAnsiTheme="minorBidi"/>
        </w:rPr>
        <w:t>program</w:t>
      </w:r>
      <w:proofErr w:type="gramEnd"/>
      <w:r w:rsidR="00F343AB">
        <w:rPr>
          <w:rFonts w:asciiTheme="minorBidi" w:hAnsiTheme="minorBidi"/>
        </w:rPr>
        <w:t xml:space="preserve"> di</w:t>
      </w:r>
      <w:r w:rsidR="00595D03">
        <w:rPr>
          <w:rFonts w:asciiTheme="minorBidi" w:hAnsiTheme="minorBidi"/>
        </w:rPr>
        <w:t xml:space="preserve">rector, associate program director and site </w:t>
      </w:r>
      <w:proofErr w:type="gramStart"/>
      <w:r w:rsidR="00595D03">
        <w:rPr>
          <w:rFonts w:asciiTheme="minorBidi" w:hAnsiTheme="minorBidi"/>
        </w:rPr>
        <w:t xml:space="preserve">directors </w:t>
      </w:r>
      <w:r w:rsidRPr="00A8780B">
        <w:rPr>
          <w:rFonts w:asciiTheme="minorBidi" w:hAnsiTheme="minorBidi"/>
        </w:rPr>
        <w:t xml:space="preserve"> from</w:t>
      </w:r>
      <w:proofErr w:type="gramEnd"/>
      <w:r w:rsidRPr="00A8780B">
        <w:rPr>
          <w:rFonts w:asciiTheme="minorBidi" w:hAnsiTheme="minorBidi"/>
        </w:rPr>
        <w:t xml:space="preserve"> each participating institution or department.</w:t>
      </w:r>
    </w:p>
    <w:p w14:paraId="68926672" w14:textId="77777777" w:rsidR="0069675E" w:rsidRPr="00A8780B" w:rsidRDefault="0069675E" w:rsidP="00470934">
      <w:pPr>
        <w:numPr>
          <w:ilvl w:val="0"/>
          <w:numId w:val="4"/>
        </w:numPr>
        <w:rPr>
          <w:rFonts w:asciiTheme="minorBidi" w:hAnsiTheme="minorBidi"/>
        </w:rPr>
      </w:pPr>
      <w:r w:rsidRPr="00A8780B">
        <w:rPr>
          <w:rFonts w:asciiTheme="minorBidi" w:hAnsiTheme="minorBidi"/>
        </w:rPr>
        <w:t>The JRPC is responsible for setting policies, approving curriculum changes, resolving disputes, and ensuring compliance with NIHS accreditation requirements.</w:t>
      </w:r>
    </w:p>
    <w:p w14:paraId="1BCCEC66" w14:textId="77777777" w:rsidR="003E2C56" w:rsidRPr="00A8780B" w:rsidRDefault="003E2C56" w:rsidP="00470934">
      <w:pPr>
        <w:pStyle w:val="ListParagraph"/>
        <w:numPr>
          <w:ilvl w:val="0"/>
          <w:numId w:val="4"/>
        </w:numPr>
        <w:rPr>
          <w:rFonts w:asciiTheme="minorBidi" w:hAnsiTheme="minorBidi"/>
        </w:rPr>
      </w:pPr>
      <w:r w:rsidRPr="00A8780B">
        <w:rPr>
          <w:rFonts w:asciiTheme="minorBidi" w:hAnsiTheme="minorBidi"/>
        </w:rPr>
        <w:t>The JRPC should report to the GMEC of the primary sponsoring institution since this institution is responsible for maintaining compliance with NIHS accreditation standards and overall program oversight.</w:t>
      </w:r>
    </w:p>
    <w:p w14:paraId="7D6878E2" w14:textId="77777777" w:rsidR="00EE3121" w:rsidRPr="00A8780B" w:rsidRDefault="00EE3121" w:rsidP="00EE3121">
      <w:pPr>
        <w:pStyle w:val="ListParagraph"/>
        <w:rPr>
          <w:rFonts w:asciiTheme="minorBidi" w:hAnsiTheme="minorBidi"/>
        </w:rPr>
      </w:pPr>
    </w:p>
    <w:p w14:paraId="32F737C3" w14:textId="77777777" w:rsidR="008116CF" w:rsidRPr="00A8780B" w:rsidRDefault="008116CF" w:rsidP="008116CF">
      <w:pPr>
        <w:ind w:left="720"/>
        <w:rPr>
          <w:rFonts w:asciiTheme="minorBidi" w:hAnsiTheme="minorBidi"/>
        </w:rPr>
      </w:pPr>
    </w:p>
    <w:p w14:paraId="7C18EBE0" w14:textId="0A3A36B5" w:rsidR="0067322D" w:rsidRPr="00A8780B" w:rsidRDefault="008116CF" w:rsidP="0067322D">
      <w:pPr>
        <w:rPr>
          <w:rFonts w:asciiTheme="minorBidi" w:hAnsiTheme="minorBidi"/>
          <w:b/>
          <w:bCs/>
        </w:rPr>
      </w:pPr>
      <w:r w:rsidRPr="00A8780B">
        <w:rPr>
          <w:rFonts w:asciiTheme="minorBidi" w:hAnsiTheme="minorBidi"/>
          <w:b/>
          <w:bCs/>
        </w:rPr>
        <w:t xml:space="preserve">4. </w:t>
      </w:r>
      <w:r w:rsidR="0067322D" w:rsidRPr="00A8780B">
        <w:rPr>
          <w:rFonts w:asciiTheme="minorBidi" w:hAnsiTheme="minorBidi"/>
          <w:b/>
          <w:bCs/>
        </w:rPr>
        <w:t>Educational Oversight</w:t>
      </w:r>
    </w:p>
    <w:p w14:paraId="631DE077" w14:textId="77777777" w:rsidR="0067322D" w:rsidRPr="00A8780B" w:rsidRDefault="0067322D" w:rsidP="00470934">
      <w:pPr>
        <w:numPr>
          <w:ilvl w:val="0"/>
          <w:numId w:val="5"/>
        </w:numPr>
        <w:rPr>
          <w:rFonts w:asciiTheme="minorBidi" w:hAnsiTheme="minorBidi"/>
        </w:rPr>
      </w:pPr>
      <w:r w:rsidRPr="00A8780B">
        <w:rPr>
          <w:rFonts w:asciiTheme="minorBidi" w:hAnsiTheme="minorBidi"/>
        </w:rPr>
        <w:t>Each participating institution must contribute to the educational resources and faculty necessary for residents to achieve competencies as required by the NIHS.</w:t>
      </w:r>
    </w:p>
    <w:p w14:paraId="0C392B3F" w14:textId="77777777" w:rsidR="0067322D" w:rsidRPr="00A8780B" w:rsidRDefault="0067322D" w:rsidP="00470934">
      <w:pPr>
        <w:numPr>
          <w:ilvl w:val="0"/>
          <w:numId w:val="5"/>
        </w:numPr>
        <w:rPr>
          <w:rFonts w:asciiTheme="minorBidi" w:hAnsiTheme="minorBidi"/>
        </w:rPr>
      </w:pPr>
      <w:r w:rsidRPr="00A8780B">
        <w:rPr>
          <w:rFonts w:asciiTheme="minorBidi" w:hAnsiTheme="minorBidi"/>
        </w:rPr>
        <w:t>Clear communication between institutions is critical to ensure that the curriculum is unified, and learning experiences are equivalent regardless of the site of rotation.</w:t>
      </w:r>
    </w:p>
    <w:p w14:paraId="708B1C38" w14:textId="174F65F5" w:rsidR="0041379C" w:rsidRPr="00A8780B" w:rsidRDefault="0041379C" w:rsidP="00470934">
      <w:pPr>
        <w:numPr>
          <w:ilvl w:val="0"/>
          <w:numId w:val="5"/>
        </w:numPr>
        <w:rPr>
          <w:rFonts w:asciiTheme="minorBidi" w:hAnsiTheme="minorBidi"/>
        </w:rPr>
      </w:pPr>
      <w:r w:rsidRPr="00A8780B">
        <w:rPr>
          <w:rFonts w:asciiTheme="minorBidi" w:hAnsiTheme="minorBidi"/>
        </w:rPr>
        <w:t>Coordinated Educational Experience Across Multiple Sites</w:t>
      </w:r>
      <w:r w:rsidR="00FB0564" w:rsidRPr="00A8780B">
        <w:rPr>
          <w:rFonts w:asciiTheme="minorBidi" w:hAnsiTheme="minorBidi"/>
        </w:rPr>
        <w:t xml:space="preserve"> including:</w:t>
      </w:r>
    </w:p>
    <w:p w14:paraId="23C68756" w14:textId="77681EC4" w:rsidR="0041379C" w:rsidRPr="00A8780B" w:rsidRDefault="0041379C" w:rsidP="00407FA6">
      <w:pPr>
        <w:numPr>
          <w:ilvl w:val="1"/>
          <w:numId w:val="5"/>
        </w:numPr>
        <w:rPr>
          <w:rFonts w:asciiTheme="minorBidi" w:hAnsiTheme="minorBidi"/>
        </w:rPr>
      </w:pPr>
      <w:r w:rsidRPr="00A8780B">
        <w:rPr>
          <w:rFonts w:asciiTheme="minorBidi" w:hAnsiTheme="minorBidi"/>
          <w:b/>
          <w:bCs/>
        </w:rPr>
        <w:t>Unified Curriculum:</w:t>
      </w:r>
      <w:r w:rsidRPr="00A8780B">
        <w:rPr>
          <w:rFonts w:asciiTheme="minorBidi" w:hAnsiTheme="minorBidi"/>
        </w:rPr>
        <w:t xml:space="preserve"> The curriculum must be standardized across all sites to ensure that trainees receive equivalent educational content, regardless of location.</w:t>
      </w:r>
      <w:r w:rsidR="00305E60">
        <w:rPr>
          <w:rFonts w:asciiTheme="minorBidi" w:hAnsiTheme="minorBidi"/>
        </w:rPr>
        <w:t xml:space="preserve"> </w:t>
      </w:r>
      <w:r w:rsidR="00305E60">
        <w:t>Residents/fellows in the combined program must meet the specialty-/subspecialty-specific scholarly activity requirements specified as</w:t>
      </w:r>
      <w:r w:rsidR="00305E60">
        <w:rPr>
          <w:spacing w:val="-2"/>
        </w:rPr>
        <w:t xml:space="preserve"> </w:t>
      </w:r>
      <w:r w:rsidR="00305E60">
        <w:t>detailed</w:t>
      </w:r>
      <w:r w:rsidR="00305E60">
        <w:rPr>
          <w:spacing w:val="-3"/>
        </w:rPr>
        <w:t xml:space="preserve"> </w:t>
      </w:r>
      <w:r w:rsidR="00305E60">
        <w:t>in</w:t>
      </w:r>
      <w:r w:rsidR="00305E60">
        <w:rPr>
          <w:spacing w:val="-5"/>
        </w:rPr>
        <w:t xml:space="preserve"> </w:t>
      </w:r>
      <w:r w:rsidR="00305E60">
        <w:t>the</w:t>
      </w:r>
      <w:r w:rsidR="00305E60">
        <w:rPr>
          <w:spacing w:val="-3"/>
        </w:rPr>
        <w:t xml:space="preserve"> </w:t>
      </w:r>
      <w:r w:rsidR="00305E60">
        <w:t>Program</w:t>
      </w:r>
      <w:r w:rsidR="00305E60">
        <w:rPr>
          <w:spacing w:val="-4"/>
        </w:rPr>
        <w:t xml:space="preserve"> </w:t>
      </w:r>
      <w:r w:rsidR="00305E60">
        <w:t>Requirements</w:t>
      </w:r>
      <w:r w:rsidR="00305E60">
        <w:rPr>
          <w:spacing w:val="-5"/>
        </w:rPr>
        <w:t xml:space="preserve"> </w:t>
      </w:r>
      <w:r w:rsidR="00305E60">
        <w:t>for</w:t>
      </w:r>
      <w:r w:rsidR="00305E60">
        <w:rPr>
          <w:spacing w:val="-4"/>
        </w:rPr>
        <w:t xml:space="preserve"> </w:t>
      </w:r>
      <w:r w:rsidR="00305E60">
        <w:t>the</w:t>
      </w:r>
      <w:r w:rsidR="00305E60">
        <w:rPr>
          <w:spacing w:val="-5"/>
        </w:rPr>
        <w:t xml:space="preserve"> </w:t>
      </w:r>
      <w:r w:rsidR="00305E60">
        <w:t>applicable</w:t>
      </w:r>
      <w:r w:rsidR="00305E60">
        <w:rPr>
          <w:spacing w:val="-3"/>
        </w:rPr>
        <w:t xml:space="preserve"> </w:t>
      </w:r>
      <w:r w:rsidR="00305E60">
        <w:t>specialty/subspecialty.</w:t>
      </w:r>
      <w:r w:rsidR="00305E60">
        <w:rPr>
          <w:spacing w:val="-3"/>
        </w:rPr>
        <w:t xml:space="preserve"> </w:t>
      </w:r>
    </w:p>
    <w:p w14:paraId="1242A385" w14:textId="77777777" w:rsidR="0041379C" w:rsidRPr="00A8780B" w:rsidRDefault="0041379C" w:rsidP="00470934">
      <w:pPr>
        <w:numPr>
          <w:ilvl w:val="1"/>
          <w:numId w:val="5"/>
        </w:numPr>
        <w:rPr>
          <w:rFonts w:asciiTheme="minorBidi" w:hAnsiTheme="minorBidi"/>
        </w:rPr>
      </w:pPr>
      <w:r w:rsidRPr="00A8780B">
        <w:rPr>
          <w:rFonts w:asciiTheme="minorBidi" w:hAnsiTheme="minorBidi"/>
          <w:b/>
          <w:bCs/>
        </w:rPr>
        <w:t>Consistent Supervision:</w:t>
      </w:r>
      <w:r w:rsidRPr="00A8780B">
        <w:rPr>
          <w:rFonts w:asciiTheme="minorBidi" w:hAnsiTheme="minorBidi"/>
        </w:rPr>
        <w:t xml:space="preserve"> Faculty at each site should adhere to the same standards for supervision and feedback, with regular communication and calibration to maintain consistency.</w:t>
      </w:r>
    </w:p>
    <w:p w14:paraId="0C9700CB" w14:textId="042372A0" w:rsidR="00E53E7E" w:rsidRDefault="00D2453A" w:rsidP="00470934">
      <w:pPr>
        <w:numPr>
          <w:ilvl w:val="1"/>
          <w:numId w:val="5"/>
        </w:numPr>
        <w:rPr>
          <w:rFonts w:asciiTheme="minorBidi" w:hAnsiTheme="minorBidi"/>
        </w:rPr>
      </w:pPr>
      <w:r>
        <w:rPr>
          <w:rFonts w:asciiTheme="minorBidi" w:hAnsiTheme="minorBidi"/>
          <w:b/>
          <w:bCs/>
        </w:rPr>
        <w:t xml:space="preserve">Resident/Fellow </w:t>
      </w:r>
      <w:r w:rsidR="0041379C" w:rsidRPr="00A8780B">
        <w:rPr>
          <w:rFonts w:asciiTheme="minorBidi" w:hAnsiTheme="minorBidi"/>
          <w:b/>
          <w:bCs/>
        </w:rPr>
        <w:t>Evaluation:</w:t>
      </w:r>
      <w:r w:rsidR="0041379C" w:rsidRPr="00A8780B">
        <w:rPr>
          <w:rFonts w:asciiTheme="minorBidi" w:hAnsiTheme="minorBidi"/>
        </w:rPr>
        <w:t xml:space="preserve"> </w:t>
      </w:r>
      <w:r w:rsidR="00E53E7E">
        <w:rPr>
          <w:rFonts w:asciiTheme="minorBidi" w:hAnsiTheme="minorBidi"/>
        </w:rPr>
        <w:tab/>
      </w:r>
    </w:p>
    <w:p w14:paraId="2187DE6A" w14:textId="378F3953" w:rsidR="0041379C" w:rsidRDefault="0076642C" w:rsidP="00470934">
      <w:pPr>
        <w:numPr>
          <w:ilvl w:val="2"/>
          <w:numId w:val="5"/>
        </w:numPr>
        <w:rPr>
          <w:rFonts w:asciiTheme="minorBidi" w:hAnsiTheme="minorBidi"/>
        </w:rPr>
      </w:pPr>
      <w:r>
        <w:t>The</w:t>
      </w:r>
      <w:r>
        <w:rPr>
          <w:spacing w:val="-4"/>
        </w:rPr>
        <w:t xml:space="preserve"> </w:t>
      </w:r>
      <w:r>
        <w:t>Clinical</w:t>
      </w:r>
      <w:r>
        <w:rPr>
          <w:spacing w:val="-4"/>
        </w:rPr>
        <w:t xml:space="preserve"> </w:t>
      </w:r>
      <w:r>
        <w:t>Competency</w:t>
      </w:r>
      <w:r>
        <w:rPr>
          <w:spacing w:val="-3"/>
        </w:rPr>
        <w:t xml:space="preserve"> </w:t>
      </w:r>
      <w:r>
        <w:t>Committee(s)</w:t>
      </w:r>
      <w:r>
        <w:rPr>
          <w:spacing w:val="-4"/>
        </w:rPr>
        <w:t xml:space="preserve"> </w:t>
      </w:r>
      <w:r>
        <w:t>must</w:t>
      </w:r>
      <w:r>
        <w:rPr>
          <w:spacing w:val="-5"/>
        </w:rPr>
        <w:t xml:space="preserve"> </w:t>
      </w:r>
      <w:r>
        <w:t>include</w:t>
      </w:r>
      <w:r>
        <w:rPr>
          <w:spacing w:val="-4"/>
        </w:rPr>
        <w:t xml:space="preserve"> </w:t>
      </w:r>
      <w:r>
        <w:t>faculty</w:t>
      </w:r>
      <w:r>
        <w:rPr>
          <w:spacing w:val="-6"/>
        </w:rPr>
        <w:t xml:space="preserve"> </w:t>
      </w:r>
      <w:r>
        <w:t>members</w:t>
      </w:r>
      <w:r>
        <w:rPr>
          <w:spacing w:val="-6"/>
        </w:rPr>
        <w:t xml:space="preserve"> </w:t>
      </w:r>
      <w:r>
        <w:t>from</w:t>
      </w:r>
      <w:r>
        <w:rPr>
          <w:spacing w:val="-2"/>
        </w:rPr>
        <w:t xml:space="preserve"> </w:t>
      </w:r>
      <w:r>
        <w:t>each participating program</w:t>
      </w:r>
      <w:r w:rsidR="0041379C" w:rsidRPr="00A8780B">
        <w:rPr>
          <w:rFonts w:asciiTheme="minorBidi" w:hAnsiTheme="minorBidi"/>
        </w:rPr>
        <w:t>.</w:t>
      </w:r>
    </w:p>
    <w:p w14:paraId="3EC035AE" w14:textId="6ED82B6D" w:rsidR="00E53E7E" w:rsidRPr="0061345E" w:rsidRDefault="00E53E7E" w:rsidP="00470934">
      <w:pPr>
        <w:numPr>
          <w:ilvl w:val="2"/>
          <w:numId w:val="5"/>
        </w:numPr>
        <w:rPr>
          <w:rFonts w:asciiTheme="minorBidi" w:hAnsiTheme="minorBidi"/>
        </w:rPr>
      </w:pPr>
      <w:r>
        <w:t>The</w:t>
      </w:r>
      <w:r>
        <w:rPr>
          <w:spacing w:val="-4"/>
        </w:rPr>
        <w:t xml:space="preserve"> </w:t>
      </w:r>
      <w:r>
        <w:t>Clinical</w:t>
      </w:r>
      <w:r>
        <w:rPr>
          <w:spacing w:val="-4"/>
        </w:rPr>
        <w:t xml:space="preserve"> </w:t>
      </w:r>
      <w:r>
        <w:t>Competency</w:t>
      </w:r>
      <w:r>
        <w:rPr>
          <w:spacing w:val="-4"/>
        </w:rPr>
        <w:t xml:space="preserve"> </w:t>
      </w:r>
      <w:r>
        <w:t>Committee(s)</w:t>
      </w:r>
      <w:r>
        <w:rPr>
          <w:spacing w:val="-4"/>
        </w:rPr>
        <w:t xml:space="preserve"> </w:t>
      </w:r>
      <w:r>
        <w:t>must</w:t>
      </w:r>
      <w:r>
        <w:rPr>
          <w:spacing w:val="-5"/>
        </w:rPr>
        <w:t xml:space="preserve"> </w:t>
      </w:r>
      <w:r>
        <w:t>determine</w:t>
      </w:r>
      <w:r>
        <w:rPr>
          <w:spacing w:val="-4"/>
        </w:rPr>
        <w:t xml:space="preserve"> </w:t>
      </w:r>
      <w:r>
        <w:t>each</w:t>
      </w:r>
      <w:r>
        <w:rPr>
          <w:spacing w:val="-6"/>
        </w:rPr>
        <w:t xml:space="preserve"> </w:t>
      </w:r>
      <w:r>
        <w:t>resident’s/fellow’s</w:t>
      </w:r>
      <w:r>
        <w:rPr>
          <w:spacing w:val="-4"/>
        </w:rPr>
        <w:t xml:space="preserve"> </w:t>
      </w:r>
      <w:r>
        <w:t>progress on achievement of the Milestones for each participating specialty/subspecialty</w:t>
      </w:r>
    </w:p>
    <w:p w14:paraId="43279888" w14:textId="61137B09" w:rsidR="0061345E" w:rsidRPr="00E12668" w:rsidRDefault="0061345E" w:rsidP="00470934">
      <w:pPr>
        <w:numPr>
          <w:ilvl w:val="2"/>
          <w:numId w:val="5"/>
        </w:numPr>
        <w:rPr>
          <w:rFonts w:asciiTheme="minorBidi" w:hAnsiTheme="minorBidi"/>
        </w:rPr>
      </w:pPr>
      <w:r>
        <w:t>The</w:t>
      </w:r>
      <w:r>
        <w:rPr>
          <w:spacing w:val="-3"/>
        </w:rPr>
        <w:t xml:space="preserve"> </w:t>
      </w:r>
      <w:r>
        <w:t>Clinical</w:t>
      </w:r>
      <w:r>
        <w:rPr>
          <w:spacing w:val="-3"/>
        </w:rPr>
        <w:t xml:space="preserve"> </w:t>
      </w:r>
      <w:r>
        <w:t>Competency</w:t>
      </w:r>
      <w:r>
        <w:rPr>
          <w:spacing w:val="-2"/>
        </w:rPr>
        <w:t xml:space="preserve"> </w:t>
      </w:r>
      <w:r>
        <w:t>Committee(s)</w:t>
      </w:r>
      <w:r>
        <w:rPr>
          <w:spacing w:val="-3"/>
        </w:rPr>
        <w:t xml:space="preserve"> </w:t>
      </w:r>
      <w:r>
        <w:t>must</w:t>
      </w:r>
      <w:r>
        <w:rPr>
          <w:spacing w:val="-4"/>
        </w:rPr>
        <w:t xml:space="preserve"> </w:t>
      </w:r>
      <w:r>
        <w:t>advise</w:t>
      </w:r>
      <w:r>
        <w:rPr>
          <w:spacing w:val="-3"/>
        </w:rPr>
        <w:t xml:space="preserve"> </w:t>
      </w:r>
      <w:r>
        <w:t>the</w:t>
      </w:r>
      <w:r>
        <w:rPr>
          <w:spacing w:val="-5"/>
        </w:rPr>
        <w:t xml:space="preserve"> </w:t>
      </w:r>
      <w:r>
        <w:t>program</w:t>
      </w:r>
      <w:r>
        <w:rPr>
          <w:spacing w:val="-4"/>
        </w:rPr>
        <w:t xml:space="preserve"> </w:t>
      </w:r>
      <w:r>
        <w:t>director</w:t>
      </w:r>
      <w:r>
        <w:rPr>
          <w:spacing w:val="-4"/>
        </w:rPr>
        <w:t xml:space="preserve"> </w:t>
      </w:r>
      <w:r>
        <w:t>on</w:t>
      </w:r>
      <w:r>
        <w:rPr>
          <w:spacing w:val="-3"/>
        </w:rPr>
        <w:t xml:space="preserve"> </w:t>
      </w:r>
      <w:r>
        <w:t>each resident’s/fellow’s progress</w:t>
      </w:r>
    </w:p>
    <w:p w14:paraId="315CD954" w14:textId="77777777" w:rsidR="00E12668" w:rsidRDefault="00E12668" w:rsidP="00470934">
      <w:pPr>
        <w:pStyle w:val="ListParagraph"/>
        <w:widowControl w:val="0"/>
        <w:numPr>
          <w:ilvl w:val="2"/>
          <w:numId w:val="5"/>
        </w:numPr>
        <w:tabs>
          <w:tab w:val="left" w:pos="546"/>
        </w:tabs>
        <w:autoSpaceDE w:val="0"/>
        <w:autoSpaceDN w:val="0"/>
        <w:spacing w:after="0" w:line="240" w:lineRule="auto"/>
        <w:ind w:right="297"/>
        <w:contextualSpacing w:val="0"/>
      </w:pPr>
      <w:r>
        <w:t xml:space="preserve">The program directors of the participating programs must provide input </w:t>
      </w:r>
      <w:r>
        <w:lastRenderedPageBreak/>
        <w:t>to the program director</w:t>
      </w:r>
      <w:r>
        <w:rPr>
          <w:spacing w:val="-3"/>
        </w:rPr>
        <w:t xml:space="preserve"> </w:t>
      </w:r>
      <w:r>
        <w:t>of</w:t>
      </w:r>
      <w:r>
        <w:rPr>
          <w:spacing w:val="-3"/>
        </w:rPr>
        <w:t xml:space="preserve"> </w:t>
      </w:r>
      <w:r>
        <w:t>the</w:t>
      </w:r>
      <w:r>
        <w:rPr>
          <w:spacing w:val="-4"/>
        </w:rPr>
        <w:t xml:space="preserve"> </w:t>
      </w:r>
      <w:r>
        <w:t>combined</w:t>
      </w:r>
      <w:r>
        <w:rPr>
          <w:spacing w:val="-4"/>
        </w:rPr>
        <w:t xml:space="preserve"> </w:t>
      </w:r>
      <w:r>
        <w:t>program</w:t>
      </w:r>
      <w:r>
        <w:rPr>
          <w:spacing w:val="-3"/>
        </w:rPr>
        <w:t xml:space="preserve"> </w:t>
      </w:r>
      <w:r>
        <w:t>regarding</w:t>
      </w:r>
      <w:r>
        <w:rPr>
          <w:spacing w:val="-4"/>
        </w:rPr>
        <w:t xml:space="preserve"> </w:t>
      </w:r>
      <w:r>
        <w:t>the</w:t>
      </w:r>
      <w:r>
        <w:rPr>
          <w:spacing w:val="-4"/>
        </w:rPr>
        <w:t xml:space="preserve"> </w:t>
      </w:r>
      <w:r>
        <w:t>required</w:t>
      </w:r>
      <w:r>
        <w:rPr>
          <w:spacing w:val="-2"/>
        </w:rPr>
        <w:t xml:space="preserve"> </w:t>
      </w:r>
      <w:r>
        <w:t>semi-annual</w:t>
      </w:r>
      <w:r>
        <w:rPr>
          <w:spacing w:val="-2"/>
        </w:rPr>
        <w:t xml:space="preserve"> </w:t>
      </w:r>
      <w:r>
        <w:t>evaluations</w:t>
      </w:r>
      <w:r>
        <w:rPr>
          <w:spacing w:val="-1"/>
        </w:rPr>
        <w:t xml:space="preserve"> </w:t>
      </w:r>
      <w:r>
        <w:t>and</w:t>
      </w:r>
      <w:r>
        <w:rPr>
          <w:spacing w:val="-4"/>
        </w:rPr>
        <w:t xml:space="preserve"> </w:t>
      </w:r>
      <w:r>
        <w:t>the</w:t>
      </w:r>
      <w:r>
        <w:rPr>
          <w:spacing w:val="-4"/>
        </w:rPr>
        <w:t xml:space="preserve"> </w:t>
      </w:r>
      <w:r>
        <w:t xml:space="preserve">final evaluation for residents/fellows in the combined program. </w:t>
      </w:r>
      <w:r>
        <w:rPr>
          <w:vertAlign w:val="superscript"/>
        </w:rPr>
        <w:t>(Core)</w:t>
      </w:r>
    </w:p>
    <w:p w14:paraId="00C21DCF" w14:textId="77777777" w:rsidR="00AC6F13" w:rsidRDefault="00AC6F13" w:rsidP="00470934">
      <w:pPr>
        <w:pStyle w:val="ListParagraph"/>
        <w:widowControl w:val="0"/>
        <w:numPr>
          <w:ilvl w:val="2"/>
          <w:numId w:val="5"/>
        </w:numPr>
        <w:tabs>
          <w:tab w:val="left" w:pos="547"/>
        </w:tabs>
        <w:autoSpaceDE w:val="0"/>
        <w:autoSpaceDN w:val="0"/>
        <w:spacing w:after="0" w:line="240" w:lineRule="auto"/>
        <w:ind w:right="368"/>
        <w:contextualSpacing w:val="0"/>
      </w:pPr>
      <w:r>
        <w:t>The</w:t>
      </w:r>
      <w:r>
        <w:rPr>
          <w:spacing w:val="-4"/>
        </w:rPr>
        <w:t xml:space="preserve"> </w:t>
      </w:r>
      <w:r>
        <w:t>final</w:t>
      </w:r>
      <w:r>
        <w:rPr>
          <w:spacing w:val="-2"/>
        </w:rPr>
        <w:t xml:space="preserve"> </w:t>
      </w:r>
      <w:r>
        <w:t>evaluation</w:t>
      </w:r>
      <w:r>
        <w:rPr>
          <w:spacing w:val="-4"/>
        </w:rPr>
        <w:t xml:space="preserve"> </w:t>
      </w:r>
      <w:r>
        <w:t>must</w:t>
      </w:r>
      <w:r>
        <w:rPr>
          <w:spacing w:val="-3"/>
        </w:rPr>
        <w:t xml:space="preserve"> </w:t>
      </w:r>
      <w:r>
        <w:t>verify</w:t>
      </w:r>
      <w:r>
        <w:rPr>
          <w:spacing w:val="-4"/>
        </w:rPr>
        <w:t xml:space="preserve"> </w:t>
      </w:r>
      <w:r>
        <w:t>that</w:t>
      </w:r>
      <w:r>
        <w:rPr>
          <w:spacing w:val="-5"/>
        </w:rPr>
        <w:t xml:space="preserve"> </w:t>
      </w:r>
      <w:r>
        <w:t>the</w:t>
      </w:r>
      <w:r>
        <w:rPr>
          <w:spacing w:val="-4"/>
        </w:rPr>
        <w:t xml:space="preserve"> </w:t>
      </w:r>
      <w:r>
        <w:t>resident/fellow</w:t>
      </w:r>
      <w:r>
        <w:rPr>
          <w:spacing w:val="-2"/>
        </w:rPr>
        <w:t xml:space="preserve"> </w:t>
      </w:r>
      <w:r>
        <w:t>has</w:t>
      </w:r>
      <w:r>
        <w:rPr>
          <w:spacing w:val="-1"/>
        </w:rPr>
        <w:t xml:space="preserve"> </w:t>
      </w:r>
      <w:r>
        <w:t>demonstrated</w:t>
      </w:r>
      <w:r>
        <w:rPr>
          <w:spacing w:val="-4"/>
        </w:rPr>
        <w:t xml:space="preserve"> </w:t>
      </w:r>
      <w:r>
        <w:t>the</w:t>
      </w:r>
      <w:r>
        <w:rPr>
          <w:spacing w:val="-2"/>
        </w:rPr>
        <w:t xml:space="preserve"> </w:t>
      </w:r>
      <w:r>
        <w:t xml:space="preserve">knowledge, skills, and behaviors necessary to enter autonomous practice in each of the participating specialties/subspecialties. </w:t>
      </w:r>
      <w:r>
        <w:rPr>
          <w:vertAlign w:val="superscript"/>
        </w:rPr>
        <w:t>(Core)</w:t>
      </w:r>
    </w:p>
    <w:p w14:paraId="17E3EEDE" w14:textId="77777777" w:rsidR="00C24FE3" w:rsidRPr="00A8780B" w:rsidRDefault="00C24FE3" w:rsidP="00C24FE3">
      <w:pPr>
        <w:numPr>
          <w:ilvl w:val="2"/>
          <w:numId w:val="5"/>
        </w:numPr>
        <w:rPr>
          <w:rFonts w:asciiTheme="minorBidi" w:hAnsiTheme="minorBidi"/>
        </w:rPr>
      </w:pPr>
      <w:r w:rsidRPr="00A8780B">
        <w:rPr>
          <w:rFonts w:asciiTheme="minorBidi" w:hAnsiTheme="minorBidi"/>
        </w:rPr>
        <w:t xml:space="preserve">Residents /fellows must receive appropriate supervision at each participating site. The program must also implement a unified system for resident evaluation that reflects the standards of the </w:t>
      </w:r>
      <w:r w:rsidRPr="00A8780B">
        <w:rPr>
          <w:rFonts w:asciiTheme="minorBidi" w:hAnsiTheme="minorBidi"/>
          <w:b/>
          <w:bCs/>
        </w:rPr>
        <w:t>Milestones Project</w:t>
      </w:r>
      <w:r w:rsidRPr="00A8780B">
        <w:rPr>
          <w:rFonts w:asciiTheme="minorBidi" w:hAnsiTheme="minorBidi"/>
        </w:rPr>
        <w:t xml:space="preserve"> as required by NIHS.</w:t>
      </w:r>
    </w:p>
    <w:p w14:paraId="1E4F75C5" w14:textId="77777777" w:rsidR="00C24FE3" w:rsidRPr="00A8780B" w:rsidRDefault="00C24FE3" w:rsidP="00C24FE3">
      <w:pPr>
        <w:numPr>
          <w:ilvl w:val="2"/>
          <w:numId w:val="5"/>
        </w:numPr>
        <w:rPr>
          <w:rFonts w:asciiTheme="minorBidi" w:hAnsiTheme="minorBidi"/>
        </w:rPr>
      </w:pPr>
      <w:r w:rsidRPr="00A8780B">
        <w:rPr>
          <w:rFonts w:asciiTheme="minorBidi" w:hAnsiTheme="minorBidi"/>
        </w:rPr>
        <w:t>Program leadership is responsible for monitoring and ensuring that resident workload is distributed appropriately across participating sites to meet both learning and service requirements.</w:t>
      </w:r>
    </w:p>
    <w:p w14:paraId="71825DFE" w14:textId="77777777" w:rsidR="00E12668" w:rsidRPr="00A8780B" w:rsidRDefault="00E12668" w:rsidP="00AC6F13">
      <w:pPr>
        <w:ind w:left="2160"/>
        <w:rPr>
          <w:rFonts w:asciiTheme="minorBidi" w:hAnsiTheme="minorBidi"/>
        </w:rPr>
      </w:pPr>
    </w:p>
    <w:p w14:paraId="6EB70574" w14:textId="77777777" w:rsidR="00D2453A" w:rsidRPr="00D2453A" w:rsidRDefault="00D2453A" w:rsidP="00470934">
      <w:pPr>
        <w:numPr>
          <w:ilvl w:val="1"/>
          <w:numId w:val="5"/>
        </w:numPr>
        <w:rPr>
          <w:rFonts w:asciiTheme="minorBidi" w:hAnsiTheme="minorBidi"/>
          <w:b/>
          <w:bCs/>
        </w:rPr>
      </w:pPr>
      <w:r w:rsidRPr="00D2453A">
        <w:rPr>
          <w:rFonts w:asciiTheme="minorBidi" w:hAnsiTheme="minorBidi"/>
          <w:b/>
          <w:bCs/>
        </w:rPr>
        <w:t>Program Evaluation</w:t>
      </w:r>
    </w:p>
    <w:p w14:paraId="416EAE0F" w14:textId="09EC3D65" w:rsidR="00AC6F13" w:rsidRPr="00E8707D" w:rsidRDefault="00E8707D" w:rsidP="00470934">
      <w:pPr>
        <w:numPr>
          <w:ilvl w:val="2"/>
          <w:numId w:val="5"/>
        </w:numPr>
        <w:rPr>
          <w:rFonts w:asciiTheme="minorBidi" w:hAnsiTheme="minorBidi"/>
        </w:rPr>
      </w:pPr>
      <w:r>
        <w:t>Residents/fellows</w:t>
      </w:r>
      <w:r>
        <w:rPr>
          <w:spacing w:val="-3"/>
        </w:rPr>
        <w:t xml:space="preserve"> </w:t>
      </w:r>
      <w:r>
        <w:t>must</w:t>
      </w:r>
      <w:r>
        <w:rPr>
          <w:spacing w:val="-2"/>
        </w:rPr>
        <w:t xml:space="preserve"> </w:t>
      </w:r>
      <w:r>
        <w:t>provide</w:t>
      </w:r>
      <w:r>
        <w:rPr>
          <w:spacing w:val="-4"/>
        </w:rPr>
        <w:t xml:space="preserve"> </w:t>
      </w:r>
      <w:r>
        <w:t>annual,</w:t>
      </w:r>
      <w:r>
        <w:rPr>
          <w:spacing w:val="-4"/>
        </w:rPr>
        <w:t xml:space="preserve"> </w:t>
      </w:r>
      <w:r>
        <w:t>written</w:t>
      </w:r>
      <w:r>
        <w:rPr>
          <w:spacing w:val="-4"/>
        </w:rPr>
        <w:t xml:space="preserve"> </w:t>
      </w:r>
      <w:r>
        <w:t>evaluations</w:t>
      </w:r>
      <w:r>
        <w:rPr>
          <w:spacing w:val="-3"/>
        </w:rPr>
        <w:t xml:space="preserve"> </w:t>
      </w:r>
      <w:r>
        <w:t>of</w:t>
      </w:r>
      <w:r>
        <w:rPr>
          <w:spacing w:val="-5"/>
        </w:rPr>
        <w:t xml:space="preserve"> </w:t>
      </w:r>
      <w:r>
        <w:t>the</w:t>
      </w:r>
      <w:r>
        <w:rPr>
          <w:spacing w:val="-6"/>
        </w:rPr>
        <w:t xml:space="preserve"> </w:t>
      </w:r>
      <w:r>
        <w:t>combined</w:t>
      </w:r>
      <w:r>
        <w:rPr>
          <w:spacing w:val="-4"/>
        </w:rPr>
        <w:t xml:space="preserve"> </w:t>
      </w:r>
      <w:r>
        <w:t>program</w:t>
      </w:r>
      <w:r>
        <w:rPr>
          <w:spacing w:val="-2"/>
        </w:rPr>
        <w:t xml:space="preserve"> </w:t>
      </w:r>
      <w:r>
        <w:t>and each of the participating specialty/subspecialty programs</w:t>
      </w:r>
    </w:p>
    <w:p w14:paraId="1C0EA82A" w14:textId="290A0558" w:rsidR="00E8707D" w:rsidRPr="00AC6F13" w:rsidRDefault="008243E6" w:rsidP="00470934">
      <w:pPr>
        <w:numPr>
          <w:ilvl w:val="2"/>
          <w:numId w:val="5"/>
        </w:numPr>
        <w:rPr>
          <w:rFonts w:asciiTheme="minorBidi" w:hAnsiTheme="minorBidi"/>
        </w:rPr>
      </w:pPr>
      <w:r>
        <w:t>The</w:t>
      </w:r>
      <w:r>
        <w:rPr>
          <w:spacing w:val="-3"/>
        </w:rPr>
        <w:t xml:space="preserve"> </w:t>
      </w:r>
      <w:r w:rsidR="00BD59E0" w:rsidRPr="00A8780B">
        <w:rPr>
          <w:rFonts w:asciiTheme="minorBidi" w:hAnsiTheme="minorBidi"/>
        </w:rPr>
        <w:t>Joint Residency/Fellowship Program Committee (JRPC)</w:t>
      </w:r>
      <w:r w:rsidR="00BD59E0">
        <w:rPr>
          <w:rFonts w:asciiTheme="minorBidi" w:hAnsiTheme="minorBidi"/>
        </w:rPr>
        <w:t xml:space="preserve"> </w:t>
      </w:r>
      <w:r w:rsidR="0020453C">
        <w:rPr>
          <w:rFonts w:asciiTheme="minorBidi" w:hAnsiTheme="minorBidi"/>
        </w:rPr>
        <w:t xml:space="preserve">must appoint </w:t>
      </w:r>
      <w:r>
        <w:t>a</w:t>
      </w:r>
      <w:r>
        <w:rPr>
          <w:spacing w:val="-3"/>
        </w:rPr>
        <w:t xml:space="preserve"> </w:t>
      </w:r>
      <w:r>
        <w:t>Program</w:t>
      </w:r>
      <w:r>
        <w:rPr>
          <w:spacing w:val="-1"/>
        </w:rPr>
        <w:t xml:space="preserve"> </w:t>
      </w:r>
      <w:r>
        <w:t>Evaluation</w:t>
      </w:r>
      <w:r>
        <w:rPr>
          <w:spacing w:val="-5"/>
        </w:rPr>
        <w:t xml:space="preserve"> </w:t>
      </w:r>
      <w:r>
        <w:t>Committee</w:t>
      </w:r>
      <w:r>
        <w:rPr>
          <w:spacing w:val="-5"/>
        </w:rPr>
        <w:t xml:space="preserve"> </w:t>
      </w:r>
      <w:r>
        <w:t>to</w:t>
      </w:r>
      <w:r>
        <w:rPr>
          <w:spacing w:val="-5"/>
        </w:rPr>
        <w:t xml:space="preserve"> </w:t>
      </w:r>
      <w:r>
        <w:t>conduct and document the Annual Program Evaluation as part of the combined program’s continuous improvement process</w:t>
      </w:r>
      <w:r w:rsidR="00564B52">
        <w:t>.</w:t>
      </w:r>
    </w:p>
    <w:p w14:paraId="746C4BB7" w14:textId="44E933A2" w:rsidR="0041379C" w:rsidRPr="00A8780B" w:rsidRDefault="0041379C" w:rsidP="00470934">
      <w:pPr>
        <w:numPr>
          <w:ilvl w:val="1"/>
          <w:numId w:val="5"/>
        </w:numPr>
        <w:rPr>
          <w:rFonts w:asciiTheme="minorBidi" w:hAnsiTheme="minorBidi"/>
        </w:rPr>
      </w:pPr>
      <w:r w:rsidRPr="00A8780B">
        <w:rPr>
          <w:rFonts w:asciiTheme="minorBidi" w:hAnsiTheme="minorBidi"/>
          <w:b/>
          <w:bCs/>
        </w:rPr>
        <w:t>Shared Resources and Policies:</w:t>
      </w:r>
      <w:r w:rsidRPr="00A8780B">
        <w:rPr>
          <w:rFonts w:asciiTheme="minorBidi" w:hAnsiTheme="minorBidi"/>
        </w:rPr>
        <w:t xml:space="preserve"> Shared governance mechanisms, like a Joint Residency/Fellowship Program Committee (JRPC), can help in aligning policies, resolving disputes, and overseeing compliance with accreditation standards.</w:t>
      </w:r>
    </w:p>
    <w:p w14:paraId="02FAF4B9" w14:textId="77777777" w:rsidR="0041379C" w:rsidRPr="00A8780B" w:rsidRDefault="0041379C" w:rsidP="00E01A72">
      <w:pPr>
        <w:rPr>
          <w:rFonts w:asciiTheme="minorBidi" w:hAnsiTheme="minorBidi"/>
        </w:rPr>
      </w:pPr>
    </w:p>
    <w:p w14:paraId="2C5A6865" w14:textId="77777777" w:rsidR="00D55F97" w:rsidRPr="00A8780B" w:rsidRDefault="00D55F97" w:rsidP="00D55F97">
      <w:pPr>
        <w:rPr>
          <w:rFonts w:asciiTheme="minorBidi" w:hAnsiTheme="minorBidi"/>
        </w:rPr>
      </w:pPr>
    </w:p>
    <w:p w14:paraId="55DEACE2" w14:textId="77777777" w:rsidR="008416E6" w:rsidRPr="00A8780B" w:rsidRDefault="00D55F97" w:rsidP="008416E6">
      <w:pPr>
        <w:rPr>
          <w:rFonts w:asciiTheme="minorBidi" w:hAnsiTheme="minorBidi"/>
          <w:b/>
          <w:bCs/>
        </w:rPr>
      </w:pPr>
      <w:r w:rsidRPr="00A8780B">
        <w:rPr>
          <w:rFonts w:asciiTheme="minorBidi" w:hAnsiTheme="minorBidi"/>
          <w:b/>
          <w:bCs/>
        </w:rPr>
        <w:t xml:space="preserve">5. </w:t>
      </w:r>
      <w:r w:rsidR="008416E6" w:rsidRPr="00A8780B">
        <w:rPr>
          <w:rFonts w:asciiTheme="minorBidi" w:hAnsiTheme="minorBidi"/>
          <w:b/>
          <w:bCs/>
        </w:rPr>
        <w:t>Full-Time Equivalents (FTE)</w:t>
      </w:r>
    </w:p>
    <w:p w14:paraId="2F68BF7A" w14:textId="683EB718" w:rsidR="008116CF" w:rsidRDefault="00DD18F6" w:rsidP="00470934">
      <w:pPr>
        <w:numPr>
          <w:ilvl w:val="0"/>
          <w:numId w:val="6"/>
        </w:numPr>
        <w:rPr>
          <w:rFonts w:asciiTheme="minorBidi" w:hAnsiTheme="minorBidi"/>
        </w:rPr>
      </w:pPr>
      <w:r w:rsidRPr="00DD18F6">
        <w:rPr>
          <w:rFonts w:asciiTheme="minorBidi" w:hAnsiTheme="minorBidi"/>
        </w:rPr>
        <w:t xml:space="preserve">The program director and, as applicable, the leadership team of the </w:t>
      </w:r>
      <w:r>
        <w:rPr>
          <w:rFonts w:asciiTheme="minorBidi" w:hAnsiTheme="minorBidi"/>
        </w:rPr>
        <w:t>joint</w:t>
      </w:r>
      <w:r w:rsidRPr="00DD18F6">
        <w:rPr>
          <w:rFonts w:asciiTheme="minorBidi" w:hAnsiTheme="minorBidi"/>
        </w:rPr>
        <w:t xml:space="preserve"> program must be provided with support adequate for administration of the program based upon its size and configuration.</w:t>
      </w:r>
    </w:p>
    <w:p w14:paraId="37B2E9DA" w14:textId="65C21B59" w:rsidR="00513722" w:rsidRPr="0052793D" w:rsidRDefault="00513722" w:rsidP="00470934">
      <w:pPr>
        <w:numPr>
          <w:ilvl w:val="0"/>
          <w:numId w:val="6"/>
        </w:numPr>
        <w:rPr>
          <w:rFonts w:asciiTheme="minorBidi" w:hAnsiTheme="minorBidi"/>
        </w:rPr>
      </w:pPr>
      <w:r w:rsidRPr="0052793D">
        <w:rPr>
          <w:rFonts w:asciiTheme="minorBidi" w:hAnsiTheme="minorBidi"/>
        </w:rPr>
        <w:t>The combined program must include at least one core faculty member from each participating specialty/subspecialty program</w:t>
      </w:r>
    </w:p>
    <w:p w14:paraId="4F16716F" w14:textId="2B0A9FF1" w:rsidR="00AD45D1" w:rsidRPr="0052793D" w:rsidRDefault="00AD45D1" w:rsidP="00470934">
      <w:pPr>
        <w:numPr>
          <w:ilvl w:val="0"/>
          <w:numId w:val="6"/>
        </w:numPr>
        <w:rPr>
          <w:rFonts w:asciiTheme="minorBidi" w:hAnsiTheme="minorBidi"/>
        </w:rPr>
      </w:pPr>
      <w:r w:rsidRPr="0052793D">
        <w:rPr>
          <w:rFonts w:asciiTheme="minorBidi" w:hAnsiTheme="minorBidi"/>
        </w:rPr>
        <w:t>For programs with an approved complement of more than eight resident/fellow positions, there must be at least one additional core faculty member from each participating specialty/subspecialty program for every eight residents/fellows in the program</w:t>
      </w:r>
    </w:p>
    <w:p w14:paraId="46434661" w14:textId="1DEFCF22" w:rsidR="0052793D" w:rsidRPr="0052793D" w:rsidRDefault="0052793D" w:rsidP="00470934">
      <w:pPr>
        <w:numPr>
          <w:ilvl w:val="0"/>
          <w:numId w:val="6"/>
        </w:numPr>
        <w:rPr>
          <w:rFonts w:asciiTheme="minorBidi" w:hAnsiTheme="minorBidi"/>
        </w:rPr>
      </w:pPr>
      <w:r w:rsidRPr="0052793D">
        <w:rPr>
          <w:rFonts w:asciiTheme="minorBidi" w:hAnsiTheme="minorBidi"/>
        </w:rPr>
        <w:t>At a minimum, the program coordinator must be provided with the dedicated time and support specified below for administration of the program</w:t>
      </w:r>
    </w:p>
    <w:p w14:paraId="1F093D1C" w14:textId="77777777" w:rsidR="008116CF" w:rsidRPr="00A8780B" w:rsidRDefault="008116CF" w:rsidP="008116CF">
      <w:pPr>
        <w:ind w:left="720"/>
        <w:rPr>
          <w:rFonts w:asciiTheme="minorBidi" w:hAnsiTheme="minorBidi"/>
        </w:rPr>
      </w:pPr>
    </w:p>
    <w:p w14:paraId="67762D22" w14:textId="1D913CBC" w:rsidR="0067322D" w:rsidRPr="00A8780B" w:rsidRDefault="00470934" w:rsidP="0067322D">
      <w:pPr>
        <w:rPr>
          <w:rFonts w:asciiTheme="minorBidi" w:hAnsiTheme="minorBidi"/>
          <w:b/>
          <w:bCs/>
        </w:rPr>
      </w:pPr>
      <w:r>
        <w:rPr>
          <w:rFonts w:asciiTheme="minorBidi" w:hAnsiTheme="minorBidi"/>
          <w:b/>
          <w:bCs/>
        </w:rPr>
        <w:lastRenderedPageBreak/>
        <w:t>7</w:t>
      </w:r>
      <w:r w:rsidR="0067322D" w:rsidRPr="00A8780B">
        <w:rPr>
          <w:rFonts w:asciiTheme="minorBidi" w:hAnsiTheme="minorBidi"/>
          <w:b/>
          <w:bCs/>
        </w:rPr>
        <w:t>. Compliance and Accreditation</w:t>
      </w:r>
    </w:p>
    <w:p w14:paraId="3BAE657E" w14:textId="77777777" w:rsidR="0067322D" w:rsidRPr="00A8780B" w:rsidRDefault="0067322D" w:rsidP="00470934">
      <w:pPr>
        <w:numPr>
          <w:ilvl w:val="0"/>
          <w:numId w:val="7"/>
        </w:numPr>
        <w:rPr>
          <w:rFonts w:asciiTheme="minorBidi" w:hAnsiTheme="minorBidi"/>
        </w:rPr>
      </w:pPr>
      <w:r w:rsidRPr="00A8780B">
        <w:rPr>
          <w:rFonts w:asciiTheme="minorBidi" w:hAnsiTheme="minorBidi"/>
        </w:rPr>
        <w:t>The primary sponsoring institution is responsible for ensuring that all sites comply with NIHS accreditation requirements.</w:t>
      </w:r>
    </w:p>
    <w:p w14:paraId="2C785B15" w14:textId="77777777" w:rsidR="0067322D" w:rsidRPr="00A8780B" w:rsidRDefault="0067322D" w:rsidP="00470934">
      <w:pPr>
        <w:numPr>
          <w:ilvl w:val="0"/>
          <w:numId w:val="7"/>
        </w:numPr>
        <w:rPr>
          <w:rFonts w:asciiTheme="minorBidi" w:hAnsiTheme="minorBidi"/>
        </w:rPr>
      </w:pPr>
      <w:r w:rsidRPr="00A8780B">
        <w:rPr>
          <w:rFonts w:asciiTheme="minorBidi" w:hAnsiTheme="minorBidi"/>
        </w:rPr>
        <w:t xml:space="preserve">Regular </w:t>
      </w:r>
      <w:r w:rsidRPr="00A8780B">
        <w:rPr>
          <w:rFonts w:asciiTheme="minorBidi" w:hAnsiTheme="minorBidi"/>
          <w:b/>
          <w:bCs/>
        </w:rPr>
        <w:t>internal reviews</w:t>
      </w:r>
      <w:r w:rsidRPr="00A8780B">
        <w:rPr>
          <w:rFonts w:asciiTheme="minorBidi" w:hAnsiTheme="minorBidi"/>
        </w:rPr>
        <w:t xml:space="preserve"> and self-studies are performed to ensure the program remains compliant, with joint programs subject to NIHS site visits and periodic review.</w:t>
      </w:r>
    </w:p>
    <w:p w14:paraId="28372975" w14:textId="77777777" w:rsidR="008116CF" w:rsidRPr="00A8780B" w:rsidRDefault="008116CF" w:rsidP="008116CF">
      <w:pPr>
        <w:ind w:left="720"/>
        <w:rPr>
          <w:rFonts w:asciiTheme="minorBidi" w:hAnsiTheme="minorBidi"/>
        </w:rPr>
      </w:pPr>
    </w:p>
    <w:p w14:paraId="204AF2F9" w14:textId="417C998E" w:rsidR="0067322D" w:rsidRPr="00A8780B" w:rsidRDefault="00470934" w:rsidP="0067322D">
      <w:pPr>
        <w:rPr>
          <w:rFonts w:asciiTheme="minorBidi" w:hAnsiTheme="minorBidi"/>
          <w:b/>
          <w:bCs/>
        </w:rPr>
      </w:pPr>
      <w:r>
        <w:rPr>
          <w:rFonts w:asciiTheme="minorBidi" w:hAnsiTheme="minorBidi"/>
          <w:b/>
          <w:bCs/>
        </w:rPr>
        <w:t>8</w:t>
      </w:r>
      <w:r w:rsidR="0067322D" w:rsidRPr="00A8780B">
        <w:rPr>
          <w:rFonts w:asciiTheme="minorBidi" w:hAnsiTheme="minorBidi"/>
          <w:b/>
          <w:bCs/>
        </w:rPr>
        <w:t>. Dispute Resolution</w:t>
      </w:r>
    </w:p>
    <w:p w14:paraId="7657F2BA" w14:textId="11B97F93" w:rsidR="0067322D" w:rsidRPr="00A8780B" w:rsidRDefault="0067322D" w:rsidP="00470934">
      <w:pPr>
        <w:numPr>
          <w:ilvl w:val="0"/>
          <w:numId w:val="8"/>
        </w:numPr>
        <w:rPr>
          <w:rFonts w:asciiTheme="minorBidi" w:hAnsiTheme="minorBidi"/>
        </w:rPr>
      </w:pPr>
      <w:r w:rsidRPr="00A8780B">
        <w:rPr>
          <w:rFonts w:asciiTheme="minorBidi" w:hAnsiTheme="minorBidi"/>
        </w:rPr>
        <w:t>There should be a clear process for resolving disputes between participating institutions regarding the management of the residency</w:t>
      </w:r>
      <w:r w:rsidR="00AE44BB" w:rsidRPr="00A8780B">
        <w:rPr>
          <w:rFonts w:asciiTheme="minorBidi" w:hAnsiTheme="minorBidi"/>
        </w:rPr>
        <w:t>/fellowship</w:t>
      </w:r>
      <w:r w:rsidRPr="00A8780B">
        <w:rPr>
          <w:rFonts w:asciiTheme="minorBidi" w:hAnsiTheme="minorBidi"/>
        </w:rPr>
        <w:t xml:space="preserve"> program. This may be part of the governance agreement established when the joint program is formed.</w:t>
      </w:r>
    </w:p>
    <w:p w14:paraId="69EC04E0" w14:textId="77777777" w:rsidR="008116CF" w:rsidRPr="00A8780B" w:rsidRDefault="008116CF" w:rsidP="0078490A">
      <w:pPr>
        <w:rPr>
          <w:rFonts w:asciiTheme="minorBidi" w:hAnsiTheme="minorBidi"/>
        </w:rPr>
      </w:pPr>
    </w:p>
    <w:p w14:paraId="44AC8BED" w14:textId="77777777" w:rsidR="008116CF" w:rsidRPr="00A8780B" w:rsidRDefault="008116CF" w:rsidP="008116CF">
      <w:pPr>
        <w:ind w:left="720"/>
        <w:rPr>
          <w:rFonts w:asciiTheme="minorBidi" w:hAnsiTheme="minorBidi"/>
        </w:rPr>
      </w:pPr>
    </w:p>
    <w:p w14:paraId="2707B339" w14:textId="157D2D6C" w:rsidR="0067322D" w:rsidRPr="00A8780B" w:rsidRDefault="00470934" w:rsidP="007A638F">
      <w:pPr>
        <w:rPr>
          <w:b/>
          <w:bCs/>
        </w:rPr>
      </w:pPr>
      <w:r>
        <w:rPr>
          <w:rFonts w:asciiTheme="minorBidi" w:hAnsiTheme="minorBidi"/>
          <w:b/>
          <w:bCs/>
        </w:rPr>
        <w:t>9</w:t>
      </w:r>
      <w:r w:rsidR="0067322D" w:rsidRPr="00A8780B">
        <w:rPr>
          <w:rFonts w:asciiTheme="minorBidi" w:hAnsiTheme="minorBidi"/>
          <w:b/>
          <w:bCs/>
        </w:rPr>
        <w:t xml:space="preserve">. </w:t>
      </w:r>
      <w:r w:rsidR="007A638F" w:rsidRPr="00A8780B">
        <w:rPr>
          <w:rFonts w:asciiTheme="minorBidi" w:hAnsiTheme="minorBidi"/>
          <w:b/>
          <w:bCs/>
        </w:rPr>
        <w:t>Inter-Institutional Agreements</w:t>
      </w:r>
    </w:p>
    <w:p w14:paraId="2699B9E1" w14:textId="192BDC16" w:rsidR="00932474" w:rsidRPr="00A8780B" w:rsidRDefault="0067322D" w:rsidP="00470934">
      <w:pPr>
        <w:numPr>
          <w:ilvl w:val="1"/>
          <w:numId w:val="10"/>
        </w:numPr>
        <w:tabs>
          <w:tab w:val="clear" w:pos="1440"/>
        </w:tabs>
        <w:ind w:left="720"/>
        <w:rPr>
          <w:rFonts w:asciiTheme="minorBidi" w:hAnsiTheme="minorBidi"/>
        </w:rPr>
      </w:pPr>
      <w:r w:rsidRPr="00A8780B">
        <w:rPr>
          <w:rFonts w:asciiTheme="minorBidi" w:hAnsiTheme="minorBidi"/>
        </w:rPr>
        <w:t xml:space="preserve">Joint residency programs typically require formal </w:t>
      </w:r>
      <w:r w:rsidR="007A638F" w:rsidRPr="00A8780B">
        <w:rPr>
          <w:rFonts w:asciiTheme="minorBidi" w:hAnsiTheme="minorBidi"/>
        </w:rPr>
        <w:t xml:space="preserve">Inter-Institutional Agreements </w:t>
      </w:r>
      <w:r w:rsidRPr="00A8780B">
        <w:rPr>
          <w:rFonts w:asciiTheme="minorBidi" w:hAnsiTheme="minorBidi"/>
        </w:rPr>
        <w:t>between participating entities. These agreements define roles, responsibilities, financial obligations, and governance processes to maintain the smooth operation of the program.</w:t>
      </w:r>
      <w:r w:rsidR="00D32E6C" w:rsidRPr="00A8780B">
        <w:rPr>
          <w:rFonts w:asciiTheme="minorBidi" w:hAnsiTheme="minorBidi"/>
        </w:rPr>
        <w:t xml:space="preserve"> These agreements establish the framework for collaboration between institutions.</w:t>
      </w:r>
    </w:p>
    <w:p w14:paraId="31AE2721" w14:textId="0E623171" w:rsidR="00DC6C05" w:rsidRPr="00A8780B" w:rsidRDefault="0067322D" w:rsidP="00470934">
      <w:pPr>
        <w:numPr>
          <w:ilvl w:val="0"/>
          <w:numId w:val="9"/>
        </w:numPr>
        <w:rPr>
          <w:rFonts w:asciiTheme="minorBidi" w:hAnsiTheme="minorBidi"/>
        </w:rPr>
      </w:pPr>
      <w:r w:rsidRPr="00A8780B">
        <w:rPr>
          <w:rFonts w:asciiTheme="minorBidi" w:hAnsiTheme="minorBidi"/>
        </w:rPr>
        <w:t>Each joint residency program must meet these guidelines while allowing for flexibility to address specific challenges and opportunities based on the institutions and specialties involved.</w:t>
      </w:r>
    </w:p>
    <w:p w14:paraId="31B7B857" w14:textId="77777777" w:rsidR="00C43144" w:rsidRPr="00A8780B" w:rsidRDefault="00C43144" w:rsidP="00470934">
      <w:pPr>
        <w:numPr>
          <w:ilvl w:val="0"/>
          <w:numId w:val="9"/>
        </w:numPr>
        <w:rPr>
          <w:rFonts w:asciiTheme="minorBidi" w:hAnsiTheme="minorBidi"/>
        </w:rPr>
      </w:pPr>
      <w:r w:rsidRPr="00A8780B">
        <w:rPr>
          <w:rFonts w:asciiTheme="minorBidi" w:hAnsiTheme="minorBidi"/>
          <w:b/>
          <w:bCs/>
        </w:rPr>
        <w:t>Terms of Reference (</w:t>
      </w:r>
      <w:proofErr w:type="spellStart"/>
      <w:r w:rsidRPr="00A8780B">
        <w:rPr>
          <w:rFonts w:asciiTheme="minorBidi" w:hAnsiTheme="minorBidi"/>
          <w:b/>
          <w:bCs/>
        </w:rPr>
        <w:t>ToR</w:t>
      </w:r>
      <w:proofErr w:type="spellEnd"/>
      <w:r w:rsidRPr="00A8780B">
        <w:rPr>
          <w:rFonts w:asciiTheme="minorBidi" w:hAnsiTheme="minorBidi"/>
          <w:b/>
          <w:bCs/>
        </w:rPr>
        <w:t>) for the JRPC:</w:t>
      </w:r>
      <w:r w:rsidRPr="00A8780B">
        <w:rPr>
          <w:rFonts w:asciiTheme="minorBidi" w:hAnsiTheme="minorBidi"/>
        </w:rPr>
        <w:t xml:space="preserve"> The </w:t>
      </w:r>
      <w:proofErr w:type="spellStart"/>
      <w:r w:rsidRPr="00A8780B">
        <w:rPr>
          <w:rFonts w:asciiTheme="minorBidi" w:hAnsiTheme="minorBidi"/>
        </w:rPr>
        <w:t>ToR</w:t>
      </w:r>
      <w:proofErr w:type="spellEnd"/>
      <w:r w:rsidRPr="00A8780B">
        <w:rPr>
          <w:rFonts w:asciiTheme="minorBidi" w:hAnsiTheme="minorBidi"/>
        </w:rPr>
        <w:t xml:space="preserve"> should include:</w:t>
      </w:r>
    </w:p>
    <w:p w14:paraId="7027A124" w14:textId="77777777" w:rsidR="00C43144" w:rsidRPr="00A8780B" w:rsidRDefault="00C43144" w:rsidP="00470934">
      <w:pPr>
        <w:numPr>
          <w:ilvl w:val="1"/>
          <w:numId w:val="9"/>
        </w:numPr>
        <w:rPr>
          <w:rFonts w:asciiTheme="minorBidi" w:hAnsiTheme="minorBidi"/>
        </w:rPr>
      </w:pPr>
      <w:r w:rsidRPr="00A8780B">
        <w:rPr>
          <w:rFonts w:asciiTheme="minorBidi" w:hAnsiTheme="minorBidi"/>
          <w:b/>
          <w:bCs/>
        </w:rPr>
        <w:t>Chair (Program Director):</w:t>
      </w:r>
      <w:r w:rsidRPr="00A8780B">
        <w:rPr>
          <w:rFonts w:asciiTheme="minorBidi" w:hAnsiTheme="minorBidi"/>
        </w:rPr>
        <w:t> Oversees the program, ensures compliance with accreditation standards, and facilitates JRPC meetings.</w:t>
      </w:r>
    </w:p>
    <w:p w14:paraId="11BC33BD" w14:textId="77003E46" w:rsidR="00907526" w:rsidRPr="00A8780B" w:rsidRDefault="00907526" w:rsidP="00470934">
      <w:pPr>
        <w:numPr>
          <w:ilvl w:val="1"/>
          <w:numId w:val="9"/>
        </w:numPr>
        <w:rPr>
          <w:rFonts w:asciiTheme="minorBidi" w:hAnsiTheme="minorBidi"/>
        </w:rPr>
      </w:pPr>
      <w:r w:rsidRPr="00A8780B">
        <w:rPr>
          <w:rFonts w:asciiTheme="minorBidi" w:hAnsiTheme="minorBidi"/>
          <w:b/>
          <w:bCs/>
        </w:rPr>
        <w:t>Associate Program Director:</w:t>
      </w:r>
      <w:r w:rsidR="00037A61" w:rsidRPr="00A8780B">
        <w:rPr>
          <w:rFonts w:asciiTheme="minorBidi" w:hAnsiTheme="minorBidi"/>
          <w:b/>
          <w:bCs/>
        </w:rPr>
        <w:t xml:space="preserve"> Oversees the program on the secondary </w:t>
      </w:r>
      <w:r w:rsidR="00A629DF" w:rsidRPr="00A8780B">
        <w:rPr>
          <w:rFonts w:asciiTheme="minorBidi" w:hAnsiTheme="minorBidi"/>
          <w:b/>
          <w:bCs/>
        </w:rPr>
        <w:t xml:space="preserve">training sites. </w:t>
      </w:r>
    </w:p>
    <w:p w14:paraId="3B5DE37B" w14:textId="4DBE1F1B" w:rsidR="00C43144" w:rsidRPr="00A8780B" w:rsidRDefault="00C43144" w:rsidP="00470934">
      <w:pPr>
        <w:numPr>
          <w:ilvl w:val="1"/>
          <w:numId w:val="9"/>
        </w:numPr>
        <w:rPr>
          <w:rFonts w:asciiTheme="minorBidi" w:hAnsiTheme="minorBidi"/>
        </w:rPr>
      </w:pPr>
      <w:r w:rsidRPr="00A8780B">
        <w:rPr>
          <w:rFonts w:asciiTheme="minorBidi" w:hAnsiTheme="minorBidi"/>
          <w:b/>
          <w:bCs/>
        </w:rPr>
        <w:t>Site Directors:</w:t>
      </w:r>
      <w:r w:rsidRPr="00A8780B">
        <w:rPr>
          <w:rFonts w:asciiTheme="minorBidi" w:hAnsiTheme="minorBidi"/>
        </w:rPr>
        <w:t> Represent each participating institution, managing site-specific training activities and ensuring alignment with the program's curriculum and standards.</w:t>
      </w:r>
    </w:p>
    <w:p w14:paraId="1BECB3D6" w14:textId="77777777" w:rsidR="00C43144" w:rsidRPr="00A8780B" w:rsidRDefault="00C43144" w:rsidP="00470934">
      <w:pPr>
        <w:numPr>
          <w:ilvl w:val="1"/>
          <w:numId w:val="9"/>
        </w:numPr>
        <w:rPr>
          <w:rFonts w:asciiTheme="minorBidi" w:hAnsiTheme="minorBidi"/>
        </w:rPr>
      </w:pPr>
      <w:r w:rsidRPr="00A8780B">
        <w:rPr>
          <w:rFonts w:asciiTheme="minorBidi" w:hAnsiTheme="minorBidi"/>
          <w:b/>
          <w:bCs/>
        </w:rPr>
        <w:t>Faculty Representatives:</w:t>
      </w:r>
      <w:r w:rsidRPr="00A8780B">
        <w:rPr>
          <w:rFonts w:asciiTheme="minorBidi" w:hAnsiTheme="minorBidi"/>
        </w:rPr>
        <w:t> Provide input on curriculum, trainee evaluation, and overall program improvements from their respective institutions.</w:t>
      </w:r>
    </w:p>
    <w:p w14:paraId="62BBDD86" w14:textId="70DDF6E3" w:rsidR="00C43144" w:rsidRPr="00A8780B" w:rsidRDefault="00C43144" w:rsidP="00470934">
      <w:pPr>
        <w:numPr>
          <w:ilvl w:val="1"/>
          <w:numId w:val="9"/>
        </w:numPr>
        <w:rPr>
          <w:rFonts w:asciiTheme="minorBidi" w:hAnsiTheme="minorBidi"/>
        </w:rPr>
      </w:pPr>
      <w:r w:rsidRPr="00A8780B">
        <w:rPr>
          <w:rFonts w:asciiTheme="minorBidi" w:hAnsiTheme="minorBidi"/>
          <w:b/>
          <w:bCs/>
        </w:rPr>
        <w:t>Trainee Representatives</w:t>
      </w:r>
      <w:r w:rsidR="00A629DF" w:rsidRPr="00A8780B">
        <w:rPr>
          <w:rFonts w:asciiTheme="minorBidi" w:hAnsiTheme="minorBidi"/>
          <w:b/>
          <w:bCs/>
        </w:rPr>
        <w:t xml:space="preserve">: </w:t>
      </w:r>
      <w:r w:rsidRPr="00A8780B">
        <w:rPr>
          <w:rFonts w:asciiTheme="minorBidi" w:hAnsiTheme="minorBidi"/>
        </w:rPr>
        <w:t>To offer feedback on training experiences and curriculum.</w:t>
      </w:r>
    </w:p>
    <w:p w14:paraId="22FB54CC" w14:textId="77777777" w:rsidR="00636CFE" w:rsidRPr="00A8780B" w:rsidRDefault="00636CFE" w:rsidP="00636CFE">
      <w:pPr>
        <w:rPr>
          <w:rFonts w:asciiTheme="minorBidi" w:hAnsiTheme="minorBidi"/>
        </w:rPr>
      </w:pPr>
    </w:p>
    <w:p w14:paraId="6FF4CDB0" w14:textId="1BE51884" w:rsidR="00B32DFA" w:rsidRPr="00A8780B" w:rsidRDefault="00470934" w:rsidP="00B32DFA">
      <w:pPr>
        <w:rPr>
          <w:rFonts w:asciiTheme="minorBidi" w:hAnsiTheme="minorBidi"/>
          <w:b/>
          <w:bCs/>
        </w:rPr>
      </w:pPr>
      <w:r>
        <w:rPr>
          <w:rFonts w:asciiTheme="minorBidi" w:hAnsiTheme="minorBidi"/>
          <w:b/>
          <w:bCs/>
        </w:rPr>
        <w:t>10</w:t>
      </w:r>
      <w:r w:rsidR="00B32DFA" w:rsidRPr="00A8780B">
        <w:rPr>
          <w:rFonts w:asciiTheme="minorBidi" w:hAnsiTheme="minorBidi"/>
          <w:b/>
          <w:bCs/>
        </w:rPr>
        <w:t>. Institutional Accreditation Process</w:t>
      </w:r>
    </w:p>
    <w:p w14:paraId="1D83DCD0" w14:textId="77777777" w:rsidR="00B32DFA" w:rsidRPr="00A8780B" w:rsidRDefault="00B32DFA" w:rsidP="00470934">
      <w:pPr>
        <w:numPr>
          <w:ilvl w:val="0"/>
          <w:numId w:val="11"/>
        </w:numPr>
        <w:rPr>
          <w:rFonts w:asciiTheme="minorBidi" w:hAnsiTheme="minorBidi"/>
        </w:rPr>
      </w:pPr>
      <w:r w:rsidRPr="00A8780B">
        <w:rPr>
          <w:rFonts w:asciiTheme="minorBidi" w:hAnsiTheme="minorBidi"/>
          <w:b/>
          <w:bCs/>
        </w:rPr>
        <w:lastRenderedPageBreak/>
        <w:t>Annual Report Submission:</w:t>
      </w:r>
      <w:r w:rsidRPr="00A8780B">
        <w:rPr>
          <w:rFonts w:asciiTheme="minorBidi" w:hAnsiTheme="minorBidi"/>
        </w:rPr>
        <w:t> The JRPC should submit its annual report to the GMECs of all participating institutions. However, the primary institution's GMEC will take the lead in reviewing and addressing issues for accreditation compliance.</w:t>
      </w:r>
    </w:p>
    <w:p w14:paraId="66BAE569" w14:textId="77777777" w:rsidR="00B32DFA" w:rsidRPr="00A8780B" w:rsidRDefault="00B32DFA" w:rsidP="00470934">
      <w:pPr>
        <w:numPr>
          <w:ilvl w:val="0"/>
          <w:numId w:val="11"/>
        </w:numPr>
        <w:rPr>
          <w:rFonts w:asciiTheme="minorBidi" w:hAnsiTheme="minorBidi"/>
        </w:rPr>
      </w:pPr>
      <w:r w:rsidRPr="00A8780B">
        <w:rPr>
          <w:rFonts w:asciiTheme="minorBidi" w:hAnsiTheme="minorBidi"/>
          <w:b/>
          <w:bCs/>
        </w:rPr>
        <w:t>Recognition and Financial Responsibilities:</w:t>
      </w:r>
    </w:p>
    <w:p w14:paraId="2AFFE2C9" w14:textId="77777777" w:rsidR="00B32DFA" w:rsidRPr="00A8780B" w:rsidRDefault="00B32DFA" w:rsidP="00470934">
      <w:pPr>
        <w:numPr>
          <w:ilvl w:val="1"/>
          <w:numId w:val="12"/>
        </w:numPr>
        <w:rPr>
          <w:rFonts w:asciiTheme="minorBidi" w:hAnsiTheme="minorBidi"/>
        </w:rPr>
      </w:pPr>
      <w:r w:rsidRPr="00A8780B">
        <w:rPr>
          <w:rFonts w:asciiTheme="minorBidi" w:hAnsiTheme="minorBidi"/>
        </w:rPr>
        <w:t>Both institutions should acknowledge the program under their respective DIOs.</w:t>
      </w:r>
    </w:p>
    <w:p w14:paraId="35ABF33D" w14:textId="77777777" w:rsidR="00B32DFA" w:rsidRPr="00A8780B" w:rsidRDefault="00B32DFA" w:rsidP="00470934">
      <w:pPr>
        <w:numPr>
          <w:ilvl w:val="1"/>
          <w:numId w:val="12"/>
        </w:numPr>
        <w:rPr>
          <w:rFonts w:asciiTheme="minorBidi" w:hAnsiTheme="minorBidi"/>
        </w:rPr>
      </w:pPr>
      <w:r w:rsidRPr="00A8780B">
        <w:rPr>
          <w:rFonts w:asciiTheme="minorBidi" w:hAnsiTheme="minorBidi"/>
        </w:rPr>
        <w:t>The financial arrangements should be clarified in the Inter-Institutional Agreement. NIHS could invoice the primary accredited institution, which can then distribute shared expenses among participating institutions based on the agreed terms.</w:t>
      </w:r>
    </w:p>
    <w:p w14:paraId="17AFF63C" w14:textId="25CE926D" w:rsidR="00B32DFA" w:rsidRDefault="00B32DFA" w:rsidP="00636CFE">
      <w:pPr>
        <w:rPr>
          <w:rFonts w:asciiTheme="minorBidi" w:hAnsiTheme="minorBidi"/>
        </w:rPr>
      </w:pPr>
    </w:p>
    <w:p w14:paraId="676D3DB6" w14:textId="77777777" w:rsidR="00EB7315" w:rsidRDefault="00EB7315" w:rsidP="00636CFE">
      <w:pPr>
        <w:rPr>
          <w:rFonts w:asciiTheme="minorBidi" w:hAnsiTheme="minorBidi"/>
        </w:rPr>
      </w:pPr>
    </w:p>
    <w:p w14:paraId="17DF60BE" w14:textId="77777777" w:rsidR="00636CFE" w:rsidRPr="008116CF" w:rsidRDefault="00636CFE" w:rsidP="00636CFE">
      <w:pPr>
        <w:rPr>
          <w:rFonts w:asciiTheme="minorBidi" w:hAnsiTheme="minorBidi"/>
        </w:rPr>
      </w:pPr>
    </w:p>
    <w:p w14:paraId="5EADB1A1" w14:textId="7982F84E" w:rsidR="00DC6C05" w:rsidRDefault="00EE77D7" w:rsidP="00EE77D7">
      <w:pPr>
        <w:pStyle w:val="Heading1"/>
        <w:rPr>
          <w:rFonts w:asciiTheme="minorBidi" w:hAnsiTheme="minorBidi"/>
        </w:rPr>
      </w:pPr>
      <w:bookmarkStart w:id="3" w:name="_Toc175216251"/>
      <w:r w:rsidRPr="00EE77D7">
        <w:rPr>
          <w:rFonts w:asciiTheme="minorBidi" w:hAnsiTheme="minorBidi"/>
          <w:b/>
          <w:bCs/>
          <w:color w:val="auto"/>
          <w:sz w:val="24"/>
          <w:szCs w:val="24"/>
        </w:rPr>
        <w:t>References</w:t>
      </w:r>
      <w:bookmarkEnd w:id="3"/>
    </w:p>
    <w:p w14:paraId="097C499B" w14:textId="487D8E9F" w:rsidR="00DC6C05" w:rsidRPr="00DC6C05" w:rsidRDefault="00DC6C05" w:rsidP="00470934">
      <w:pPr>
        <w:pStyle w:val="ListParagraph"/>
        <w:numPr>
          <w:ilvl w:val="0"/>
          <w:numId w:val="1"/>
        </w:numPr>
        <w:rPr>
          <w:rFonts w:asciiTheme="minorBidi" w:hAnsiTheme="minorBidi"/>
        </w:rPr>
      </w:pPr>
      <w:r w:rsidRPr="00DC6C05">
        <w:rPr>
          <w:rFonts w:asciiTheme="minorBidi" w:hAnsiTheme="minorBidi"/>
        </w:rPr>
        <w:t>NIHS Institutional Accreditation Requirements</w:t>
      </w:r>
    </w:p>
    <w:p w14:paraId="7613CDAF" w14:textId="4BE115B2" w:rsidR="00DC6C05" w:rsidRDefault="00DC6C05" w:rsidP="00470934">
      <w:pPr>
        <w:pStyle w:val="ListParagraph"/>
        <w:numPr>
          <w:ilvl w:val="0"/>
          <w:numId w:val="1"/>
        </w:numPr>
        <w:rPr>
          <w:rFonts w:asciiTheme="minorBidi" w:hAnsiTheme="minorBidi"/>
        </w:rPr>
      </w:pPr>
      <w:r w:rsidRPr="00DC6C05">
        <w:rPr>
          <w:rFonts w:asciiTheme="minorBidi" w:hAnsiTheme="minorBidi"/>
        </w:rPr>
        <w:t>NIHS Common Program Accreditation Requirements</w:t>
      </w:r>
    </w:p>
    <w:p w14:paraId="6D249920" w14:textId="24F72EDC" w:rsidR="0039589E" w:rsidRDefault="0039589E" w:rsidP="00470934">
      <w:pPr>
        <w:pStyle w:val="ListParagraph"/>
        <w:numPr>
          <w:ilvl w:val="0"/>
          <w:numId w:val="1"/>
        </w:numPr>
        <w:rPr>
          <w:rFonts w:asciiTheme="minorBidi" w:hAnsiTheme="minorBidi"/>
        </w:rPr>
      </w:pPr>
      <w:r w:rsidRPr="0039589E">
        <w:rPr>
          <w:rFonts w:asciiTheme="minorBidi" w:hAnsiTheme="minorBidi"/>
        </w:rPr>
        <w:t xml:space="preserve">Accreditation Council for Graduate Medical Education (2016) ACGME international institutional requirements. Available from: https://www.acgme-i.org/Portals/0/InternationalInstitutionalRequirementsPreComment. </w:t>
      </w:r>
      <w:proofErr w:type="spellStart"/>
      <w:r w:rsidRPr="0039589E">
        <w:rPr>
          <w:rFonts w:asciiTheme="minorBidi" w:hAnsiTheme="minorBidi"/>
        </w:rPr>
        <w:t>pdf?ver</w:t>
      </w:r>
      <w:proofErr w:type="spellEnd"/>
      <w:r w:rsidRPr="0039589E">
        <w:rPr>
          <w:rFonts w:asciiTheme="minorBidi" w:hAnsiTheme="minorBidi"/>
        </w:rPr>
        <w:t>=717-161905-05-02-2020</w:t>
      </w:r>
    </w:p>
    <w:p w14:paraId="0D572548" w14:textId="77777777" w:rsidR="00345669" w:rsidRDefault="00345669" w:rsidP="00345669">
      <w:pPr>
        <w:rPr>
          <w:rFonts w:asciiTheme="minorBidi" w:hAnsiTheme="minorBidi"/>
        </w:rPr>
      </w:pPr>
    </w:p>
    <w:p w14:paraId="4B2D911D" w14:textId="77777777" w:rsidR="00345669" w:rsidRDefault="00345669" w:rsidP="00345669">
      <w:pPr>
        <w:rPr>
          <w:rFonts w:asciiTheme="minorBidi" w:hAnsiTheme="minorBidi"/>
        </w:rPr>
      </w:pPr>
    </w:p>
    <w:p w14:paraId="5660E5A4" w14:textId="77777777" w:rsidR="00345669" w:rsidRDefault="00345669" w:rsidP="00345669">
      <w:pPr>
        <w:rPr>
          <w:rFonts w:asciiTheme="minorBidi" w:hAnsiTheme="minorBidi"/>
        </w:rPr>
      </w:pPr>
    </w:p>
    <w:p w14:paraId="69E29952" w14:textId="672C58C2" w:rsidR="00345669" w:rsidRPr="00B83E44" w:rsidRDefault="00345669" w:rsidP="00B83E44">
      <w:pPr>
        <w:rPr>
          <w:rFonts w:asciiTheme="minorBidi" w:hAnsiTheme="minorBidi"/>
        </w:rPr>
      </w:pPr>
    </w:p>
    <w:sectPr w:rsidR="00345669" w:rsidRPr="00B83E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82BB" w14:textId="77777777" w:rsidR="00380B33" w:rsidRDefault="00380B33" w:rsidP="00F05A16">
      <w:pPr>
        <w:spacing w:after="0" w:line="240" w:lineRule="auto"/>
      </w:pPr>
      <w:r>
        <w:separator/>
      </w:r>
    </w:p>
  </w:endnote>
  <w:endnote w:type="continuationSeparator" w:id="0">
    <w:p w14:paraId="362A9D01" w14:textId="77777777" w:rsidR="00380B33" w:rsidRDefault="00380B33" w:rsidP="00F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06694"/>
      <w:docPartObj>
        <w:docPartGallery w:val="Page Numbers (Bottom of Page)"/>
        <w:docPartUnique/>
      </w:docPartObj>
    </w:sdtPr>
    <w:sdtEndPr>
      <w:rPr>
        <w:noProof/>
      </w:rPr>
    </w:sdtEndPr>
    <w:sdtContent>
      <w:p w14:paraId="06F65CBD" w14:textId="6C1BCEDA" w:rsidR="00F05A16" w:rsidRDefault="00F05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E0C359" w14:textId="77777777" w:rsidR="00F05A16" w:rsidRDefault="00F0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C559" w14:textId="77777777" w:rsidR="00380B33" w:rsidRDefault="00380B33" w:rsidP="00F05A16">
      <w:pPr>
        <w:spacing w:after="0" w:line="240" w:lineRule="auto"/>
      </w:pPr>
      <w:r>
        <w:separator/>
      </w:r>
    </w:p>
  </w:footnote>
  <w:footnote w:type="continuationSeparator" w:id="0">
    <w:p w14:paraId="3720073B" w14:textId="77777777" w:rsidR="00380B33" w:rsidRDefault="00380B33" w:rsidP="00F0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D27"/>
    <w:multiLevelType w:val="multilevel"/>
    <w:tmpl w:val="A9C6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51540"/>
    <w:multiLevelType w:val="multilevel"/>
    <w:tmpl w:val="D8107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32C1A"/>
    <w:multiLevelType w:val="multilevel"/>
    <w:tmpl w:val="55F8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10F0F"/>
    <w:multiLevelType w:val="multilevel"/>
    <w:tmpl w:val="A948D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770D"/>
    <w:multiLevelType w:val="multilevel"/>
    <w:tmpl w:val="016CF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88"/>
    <w:multiLevelType w:val="hybridMultilevel"/>
    <w:tmpl w:val="A74A3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D34EA"/>
    <w:multiLevelType w:val="multilevel"/>
    <w:tmpl w:val="422E6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F4DD5"/>
    <w:multiLevelType w:val="multilevel"/>
    <w:tmpl w:val="620E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00529"/>
    <w:multiLevelType w:val="multilevel"/>
    <w:tmpl w:val="2AB0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D594C"/>
    <w:multiLevelType w:val="multilevel"/>
    <w:tmpl w:val="04CA0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DA3E68"/>
    <w:multiLevelType w:val="multilevel"/>
    <w:tmpl w:val="B0645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06CD7"/>
    <w:multiLevelType w:val="multilevel"/>
    <w:tmpl w:val="A8ECE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7856834">
    <w:abstractNumId w:val="5"/>
  </w:num>
  <w:num w:numId="2" w16cid:durableId="1346324269">
    <w:abstractNumId w:val="7"/>
  </w:num>
  <w:num w:numId="3" w16cid:durableId="870801762">
    <w:abstractNumId w:val="4"/>
  </w:num>
  <w:num w:numId="4" w16cid:durableId="621571200">
    <w:abstractNumId w:val="10"/>
  </w:num>
  <w:num w:numId="5" w16cid:durableId="1572157918">
    <w:abstractNumId w:val="6"/>
  </w:num>
  <w:num w:numId="6" w16cid:durableId="848250136">
    <w:abstractNumId w:val="3"/>
  </w:num>
  <w:num w:numId="7" w16cid:durableId="1397240169">
    <w:abstractNumId w:val="8"/>
  </w:num>
  <w:num w:numId="8" w16cid:durableId="412507973">
    <w:abstractNumId w:val="1"/>
  </w:num>
  <w:num w:numId="9" w16cid:durableId="533620560">
    <w:abstractNumId w:val="2"/>
  </w:num>
  <w:num w:numId="10" w16cid:durableId="1841191630">
    <w:abstractNumId w:val="9"/>
  </w:num>
  <w:num w:numId="11" w16cid:durableId="405960943">
    <w:abstractNumId w:val="11"/>
  </w:num>
  <w:num w:numId="12" w16cid:durableId="5484181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21"/>
    <w:rsid w:val="00013388"/>
    <w:rsid w:val="0002303B"/>
    <w:rsid w:val="00033F06"/>
    <w:rsid w:val="00037A61"/>
    <w:rsid w:val="000446CB"/>
    <w:rsid w:val="000451CA"/>
    <w:rsid w:val="000531C5"/>
    <w:rsid w:val="000570EB"/>
    <w:rsid w:val="00074C66"/>
    <w:rsid w:val="00087133"/>
    <w:rsid w:val="000B615E"/>
    <w:rsid w:val="000C2D20"/>
    <w:rsid w:val="000C4EF6"/>
    <w:rsid w:val="000D114E"/>
    <w:rsid w:val="000D3CFF"/>
    <w:rsid w:val="001018A8"/>
    <w:rsid w:val="00104E3A"/>
    <w:rsid w:val="00137D1A"/>
    <w:rsid w:val="001511AB"/>
    <w:rsid w:val="00153175"/>
    <w:rsid w:val="00171611"/>
    <w:rsid w:val="0017755C"/>
    <w:rsid w:val="00185F05"/>
    <w:rsid w:val="001962F5"/>
    <w:rsid w:val="001A79F2"/>
    <w:rsid w:val="001C02AB"/>
    <w:rsid w:val="001E6E13"/>
    <w:rsid w:val="0020453C"/>
    <w:rsid w:val="00221141"/>
    <w:rsid w:val="0023622D"/>
    <w:rsid w:val="002774F2"/>
    <w:rsid w:val="002B3B8B"/>
    <w:rsid w:val="002E332F"/>
    <w:rsid w:val="002F0C24"/>
    <w:rsid w:val="00305E60"/>
    <w:rsid w:val="003165D8"/>
    <w:rsid w:val="00326E86"/>
    <w:rsid w:val="00332B7C"/>
    <w:rsid w:val="00336E13"/>
    <w:rsid w:val="00345669"/>
    <w:rsid w:val="00366388"/>
    <w:rsid w:val="00380B33"/>
    <w:rsid w:val="0039589E"/>
    <w:rsid w:val="003B7E5E"/>
    <w:rsid w:val="003D2F3D"/>
    <w:rsid w:val="003E2C00"/>
    <w:rsid w:val="003E2C56"/>
    <w:rsid w:val="00403507"/>
    <w:rsid w:val="00407FA6"/>
    <w:rsid w:val="0041379C"/>
    <w:rsid w:val="0041697C"/>
    <w:rsid w:val="00420F41"/>
    <w:rsid w:val="0044252E"/>
    <w:rsid w:val="00442CCD"/>
    <w:rsid w:val="00442D34"/>
    <w:rsid w:val="0045701D"/>
    <w:rsid w:val="00470934"/>
    <w:rsid w:val="00471A26"/>
    <w:rsid w:val="0048077D"/>
    <w:rsid w:val="00491727"/>
    <w:rsid w:val="004F188D"/>
    <w:rsid w:val="004F2C77"/>
    <w:rsid w:val="004F35A4"/>
    <w:rsid w:val="004F3D19"/>
    <w:rsid w:val="004F59A3"/>
    <w:rsid w:val="00513722"/>
    <w:rsid w:val="00513926"/>
    <w:rsid w:val="00526BE1"/>
    <w:rsid w:val="0052793D"/>
    <w:rsid w:val="00552F86"/>
    <w:rsid w:val="00564B52"/>
    <w:rsid w:val="00574BAE"/>
    <w:rsid w:val="00576135"/>
    <w:rsid w:val="00595D03"/>
    <w:rsid w:val="005A4D24"/>
    <w:rsid w:val="005B0F79"/>
    <w:rsid w:val="005B7116"/>
    <w:rsid w:val="005C6868"/>
    <w:rsid w:val="005E3935"/>
    <w:rsid w:val="005E3A09"/>
    <w:rsid w:val="005F1A9E"/>
    <w:rsid w:val="00610C01"/>
    <w:rsid w:val="0061345E"/>
    <w:rsid w:val="00636CFE"/>
    <w:rsid w:val="0067322D"/>
    <w:rsid w:val="00676EE3"/>
    <w:rsid w:val="0069339F"/>
    <w:rsid w:val="0069675E"/>
    <w:rsid w:val="006C541A"/>
    <w:rsid w:val="006D20D2"/>
    <w:rsid w:val="006D68B0"/>
    <w:rsid w:val="006F02EA"/>
    <w:rsid w:val="0073206D"/>
    <w:rsid w:val="00733240"/>
    <w:rsid w:val="007517FB"/>
    <w:rsid w:val="0076642C"/>
    <w:rsid w:val="0078490A"/>
    <w:rsid w:val="007A1BCD"/>
    <w:rsid w:val="007A638F"/>
    <w:rsid w:val="007C1C51"/>
    <w:rsid w:val="007C736D"/>
    <w:rsid w:val="007D0258"/>
    <w:rsid w:val="007D290D"/>
    <w:rsid w:val="007F1ED1"/>
    <w:rsid w:val="008021F9"/>
    <w:rsid w:val="008044F7"/>
    <w:rsid w:val="008116CF"/>
    <w:rsid w:val="008243E6"/>
    <w:rsid w:val="008416E6"/>
    <w:rsid w:val="00850D30"/>
    <w:rsid w:val="00851114"/>
    <w:rsid w:val="00867559"/>
    <w:rsid w:val="008A2C72"/>
    <w:rsid w:val="008A4E12"/>
    <w:rsid w:val="008F277C"/>
    <w:rsid w:val="00907526"/>
    <w:rsid w:val="00932474"/>
    <w:rsid w:val="009C45D5"/>
    <w:rsid w:val="009F2E88"/>
    <w:rsid w:val="00A14F5B"/>
    <w:rsid w:val="00A23AC8"/>
    <w:rsid w:val="00A316C1"/>
    <w:rsid w:val="00A4676B"/>
    <w:rsid w:val="00A629DF"/>
    <w:rsid w:val="00A6508C"/>
    <w:rsid w:val="00A656A1"/>
    <w:rsid w:val="00A8780B"/>
    <w:rsid w:val="00A97449"/>
    <w:rsid w:val="00AA4163"/>
    <w:rsid w:val="00AB2859"/>
    <w:rsid w:val="00AC33E0"/>
    <w:rsid w:val="00AC6F13"/>
    <w:rsid w:val="00AD45D1"/>
    <w:rsid w:val="00AE0EAE"/>
    <w:rsid w:val="00AE44BB"/>
    <w:rsid w:val="00B0061E"/>
    <w:rsid w:val="00B05E8A"/>
    <w:rsid w:val="00B16DA9"/>
    <w:rsid w:val="00B321E6"/>
    <w:rsid w:val="00B32DFA"/>
    <w:rsid w:val="00B4695D"/>
    <w:rsid w:val="00B52D5F"/>
    <w:rsid w:val="00B63E2C"/>
    <w:rsid w:val="00B83E44"/>
    <w:rsid w:val="00BD321F"/>
    <w:rsid w:val="00BD59E0"/>
    <w:rsid w:val="00BE3E07"/>
    <w:rsid w:val="00BF314F"/>
    <w:rsid w:val="00BF4985"/>
    <w:rsid w:val="00C00C9B"/>
    <w:rsid w:val="00C04F2C"/>
    <w:rsid w:val="00C24FE3"/>
    <w:rsid w:val="00C40C48"/>
    <w:rsid w:val="00C43144"/>
    <w:rsid w:val="00C675EB"/>
    <w:rsid w:val="00C7053A"/>
    <w:rsid w:val="00CA3D82"/>
    <w:rsid w:val="00CE5A22"/>
    <w:rsid w:val="00D2453A"/>
    <w:rsid w:val="00D254F1"/>
    <w:rsid w:val="00D32E6C"/>
    <w:rsid w:val="00D44208"/>
    <w:rsid w:val="00D55F97"/>
    <w:rsid w:val="00D72394"/>
    <w:rsid w:val="00D72F72"/>
    <w:rsid w:val="00DB7104"/>
    <w:rsid w:val="00DC6C05"/>
    <w:rsid w:val="00DC77E9"/>
    <w:rsid w:val="00DD18F6"/>
    <w:rsid w:val="00E01A72"/>
    <w:rsid w:val="00E10C7D"/>
    <w:rsid w:val="00E12668"/>
    <w:rsid w:val="00E47FA3"/>
    <w:rsid w:val="00E53E7E"/>
    <w:rsid w:val="00E70B57"/>
    <w:rsid w:val="00E8707D"/>
    <w:rsid w:val="00EA282C"/>
    <w:rsid w:val="00EB06C7"/>
    <w:rsid w:val="00EB7315"/>
    <w:rsid w:val="00EB7B78"/>
    <w:rsid w:val="00ED03B3"/>
    <w:rsid w:val="00EE3121"/>
    <w:rsid w:val="00EE77D7"/>
    <w:rsid w:val="00F006BC"/>
    <w:rsid w:val="00F05A16"/>
    <w:rsid w:val="00F076B3"/>
    <w:rsid w:val="00F21DAB"/>
    <w:rsid w:val="00F324CC"/>
    <w:rsid w:val="00F33721"/>
    <w:rsid w:val="00F343AB"/>
    <w:rsid w:val="00F50DC6"/>
    <w:rsid w:val="00F53FD2"/>
    <w:rsid w:val="00F56EEB"/>
    <w:rsid w:val="00F632A0"/>
    <w:rsid w:val="00F70201"/>
    <w:rsid w:val="00F97D42"/>
    <w:rsid w:val="00FB0564"/>
    <w:rsid w:val="00FC4E00"/>
    <w:rsid w:val="00FE1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160D"/>
  <w15:chartTrackingRefBased/>
  <w15:docId w15:val="{16C6DEAA-A384-4777-BE62-38BC8EE7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A21"/>
    <w:rPr>
      <w:rFonts w:eastAsiaTheme="majorEastAsia" w:cstheme="majorBidi"/>
      <w:color w:val="272727" w:themeColor="text1" w:themeTint="D8"/>
    </w:rPr>
  </w:style>
  <w:style w:type="paragraph" w:styleId="Title">
    <w:name w:val="Title"/>
    <w:basedOn w:val="Normal"/>
    <w:next w:val="Normal"/>
    <w:link w:val="TitleChar"/>
    <w:uiPriority w:val="10"/>
    <w:qFormat/>
    <w:rsid w:val="00FE1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A21"/>
    <w:pPr>
      <w:spacing w:before="160"/>
      <w:jc w:val="center"/>
    </w:pPr>
    <w:rPr>
      <w:i/>
      <w:iCs/>
      <w:color w:val="404040" w:themeColor="text1" w:themeTint="BF"/>
    </w:rPr>
  </w:style>
  <w:style w:type="character" w:customStyle="1" w:styleId="QuoteChar">
    <w:name w:val="Quote Char"/>
    <w:basedOn w:val="DefaultParagraphFont"/>
    <w:link w:val="Quote"/>
    <w:uiPriority w:val="29"/>
    <w:rsid w:val="00FE1A21"/>
    <w:rPr>
      <w:i/>
      <w:iCs/>
      <w:color w:val="404040" w:themeColor="text1" w:themeTint="BF"/>
    </w:rPr>
  </w:style>
  <w:style w:type="paragraph" w:styleId="ListParagraph">
    <w:name w:val="List Paragraph"/>
    <w:basedOn w:val="Normal"/>
    <w:uiPriority w:val="1"/>
    <w:qFormat/>
    <w:rsid w:val="00FE1A21"/>
    <w:pPr>
      <w:ind w:left="720"/>
      <w:contextualSpacing/>
    </w:pPr>
  </w:style>
  <w:style w:type="character" w:styleId="IntenseEmphasis">
    <w:name w:val="Intense Emphasis"/>
    <w:basedOn w:val="DefaultParagraphFont"/>
    <w:uiPriority w:val="21"/>
    <w:qFormat/>
    <w:rsid w:val="00FE1A21"/>
    <w:rPr>
      <w:i/>
      <w:iCs/>
      <w:color w:val="0F4761" w:themeColor="accent1" w:themeShade="BF"/>
    </w:rPr>
  </w:style>
  <w:style w:type="paragraph" w:styleId="IntenseQuote">
    <w:name w:val="Intense Quote"/>
    <w:basedOn w:val="Normal"/>
    <w:next w:val="Normal"/>
    <w:link w:val="IntenseQuoteChar"/>
    <w:uiPriority w:val="30"/>
    <w:qFormat/>
    <w:rsid w:val="00FE1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A21"/>
    <w:rPr>
      <w:i/>
      <w:iCs/>
      <w:color w:val="0F4761" w:themeColor="accent1" w:themeShade="BF"/>
    </w:rPr>
  </w:style>
  <w:style w:type="character" w:styleId="IntenseReference">
    <w:name w:val="Intense Reference"/>
    <w:basedOn w:val="DefaultParagraphFont"/>
    <w:uiPriority w:val="32"/>
    <w:qFormat/>
    <w:rsid w:val="00FE1A21"/>
    <w:rPr>
      <w:b/>
      <w:bCs/>
      <w:smallCaps/>
      <w:color w:val="0F4761" w:themeColor="accent1" w:themeShade="BF"/>
      <w:spacing w:val="5"/>
    </w:rPr>
  </w:style>
  <w:style w:type="paragraph" w:styleId="TOCHeading">
    <w:name w:val="TOC Heading"/>
    <w:basedOn w:val="Heading1"/>
    <w:next w:val="Normal"/>
    <w:uiPriority w:val="39"/>
    <w:unhideWhenUsed/>
    <w:qFormat/>
    <w:rsid w:val="00FE1A21"/>
    <w:pPr>
      <w:spacing w:before="240" w:after="0"/>
      <w:outlineLvl w:val="9"/>
    </w:pPr>
    <w:rPr>
      <w:sz w:val="32"/>
      <w:szCs w:val="32"/>
    </w:rPr>
  </w:style>
  <w:style w:type="paragraph" w:styleId="TOC1">
    <w:name w:val="toc 1"/>
    <w:basedOn w:val="Normal"/>
    <w:next w:val="Normal"/>
    <w:autoRedefine/>
    <w:uiPriority w:val="39"/>
    <w:unhideWhenUsed/>
    <w:rsid w:val="00FE1A21"/>
    <w:pPr>
      <w:spacing w:after="100"/>
    </w:pPr>
    <w:rPr>
      <w:kern w:val="2"/>
      <w14:ligatures w14:val="standardContextual"/>
    </w:rPr>
  </w:style>
  <w:style w:type="paragraph" w:styleId="TOC2">
    <w:name w:val="toc 2"/>
    <w:basedOn w:val="Normal"/>
    <w:next w:val="Normal"/>
    <w:autoRedefine/>
    <w:uiPriority w:val="39"/>
    <w:unhideWhenUsed/>
    <w:rsid w:val="00FE1A21"/>
    <w:pPr>
      <w:spacing w:after="100"/>
      <w:ind w:left="220"/>
    </w:pPr>
    <w:rPr>
      <w:kern w:val="2"/>
      <w14:ligatures w14:val="standardContextual"/>
    </w:rPr>
  </w:style>
  <w:style w:type="character" w:styleId="Hyperlink">
    <w:name w:val="Hyperlink"/>
    <w:basedOn w:val="DefaultParagraphFont"/>
    <w:uiPriority w:val="99"/>
    <w:unhideWhenUsed/>
    <w:rsid w:val="00FE1A21"/>
    <w:rPr>
      <w:color w:val="467886" w:themeColor="hyperlink"/>
      <w:u w:val="single"/>
    </w:rPr>
  </w:style>
  <w:style w:type="table" w:styleId="TableGrid">
    <w:name w:val="Table Grid"/>
    <w:basedOn w:val="TableNormal"/>
    <w:uiPriority w:val="39"/>
    <w:rsid w:val="004F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16"/>
  </w:style>
  <w:style w:type="paragraph" w:styleId="Footer">
    <w:name w:val="footer"/>
    <w:basedOn w:val="Normal"/>
    <w:link w:val="FooterChar"/>
    <w:uiPriority w:val="99"/>
    <w:unhideWhenUsed/>
    <w:rsid w:val="00F05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022">
      <w:bodyDiv w:val="1"/>
      <w:marLeft w:val="0"/>
      <w:marRight w:val="0"/>
      <w:marTop w:val="0"/>
      <w:marBottom w:val="0"/>
      <w:divBdr>
        <w:top w:val="none" w:sz="0" w:space="0" w:color="auto"/>
        <w:left w:val="none" w:sz="0" w:space="0" w:color="auto"/>
        <w:bottom w:val="none" w:sz="0" w:space="0" w:color="auto"/>
        <w:right w:val="none" w:sz="0" w:space="0" w:color="auto"/>
      </w:divBdr>
    </w:div>
    <w:div w:id="206643569">
      <w:bodyDiv w:val="1"/>
      <w:marLeft w:val="0"/>
      <w:marRight w:val="0"/>
      <w:marTop w:val="0"/>
      <w:marBottom w:val="0"/>
      <w:divBdr>
        <w:top w:val="none" w:sz="0" w:space="0" w:color="auto"/>
        <w:left w:val="none" w:sz="0" w:space="0" w:color="auto"/>
        <w:bottom w:val="none" w:sz="0" w:space="0" w:color="auto"/>
        <w:right w:val="none" w:sz="0" w:space="0" w:color="auto"/>
      </w:divBdr>
    </w:div>
    <w:div w:id="217983312">
      <w:bodyDiv w:val="1"/>
      <w:marLeft w:val="0"/>
      <w:marRight w:val="0"/>
      <w:marTop w:val="0"/>
      <w:marBottom w:val="0"/>
      <w:divBdr>
        <w:top w:val="none" w:sz="0" w:space="0" w:color="auto"/>
        <w:left w:val="none" w:sz="0" w:space="0" w:color="auto"/>
        <w:bottom w:val="none" w:sz="0" w:space="0" w:color="auto"/>
        <w:right w:val="none" w:sz="0" w:space="0" w:color="auto"/>
      </w:divBdr>
    </w:div>
    <w:div w:id="538903071">
      <w:bodyDiv w:val="1"/>
      <w:marLeft w:val="0"/>
      <w:marRight w:val="0"/>
      <w:marTop w:val="0"/>
      <w:marBottom w:val="0"/>
      <w:divBdr>
        <w:top w:val="none" w:sz="0" w:space="0" w:color="auto"/>
        <w:left w:val="none" w:sz="0" w:space="0" w:color="auto"/>
        <w:bottom w:val="none" w:sz="0" w:space="0" w:color="auto"/>
        <w:right w:val="none" w:sz="0" w:space="0" w:color="auto"/>
      </w:divBdr>
    </w:div>
    <w:div w:id="547838718">
      <w:bodyDiv w:val="1"/>
      <w:marLeft w:val="0"/>
      <w:marRight w:val="0"/>
      <w:marTop w:val="0"/>
      <w:marBottom w:val="0"/>
      <w:divBdr>
        <w:top w:val="none" w:sz="0" w:space="0" w:color="auto"/>
        <w:left w:val="none" w:sz="0" w:space="0" w:color="auto"/>
        <w:bottom w:val="none" w:sz="0" w:space="0" w:color="auto"/>
        <w:right w:val="none" w:sz="0" w:space="0" w:color="auto"/>
      </w:divBdr>
    </w:div>
    <w:div w:id="638345459">
      <w:bodyDiv w:val="1"/>
      <w:marLeft w:val="0"/>
      <w:marRight w:val="0"/>
      <w:marTop w:val="0"/>
      <w:marBottom w:val="0"/>
      <w:divBdr>
        <w:top w:val="none" w:sz="0" w:space="0" w:color="auto"/>
        <w:left w:val="none" w:sz="0" w:space="0" w:color="auto"/>
        <w:bottom w:val="none" w:sz="0" w:space="0" w:color="auto"/>
        <w:right w:val="none" w:sz="0" w:space="0" w:color="auto"/>
      </w:divBdr>
    </w:div>
    <w:div w:id="643122219">
      <w:bodyDiv w:val="1"/>
      <w:marLeft w:val="0"/>
      <w:marRight w:val="0"/>
      <w:marTop w:val="0"/>
      <w:marBottom w:val="0"/>
      <w:divBdr>
        <w:top w:val="none" w:sz="0" w:space="0" w:color="auto"/>
        <w:left w:val="none" w:sz="0" w:space="0" w:color="auto"/>
        <w:bottom w:val="none" w:sz="0" w:space="0" w:color="auto"/>
        <w:right w:val="none" w:sz="0" w:space="0" w:color="auto"/>
      </w:divBdr>
    </w:div>
    <w:div w:id="687293322">
      <w:bodyDiv w:val="1"/>
      <w:marLeft w:val="0"/>
      <w:marRight w:val="0"/>
      <w:marTop w:val="0"/>
      <w:marBottom w:val="0"/>
      <w:divBdr>
        <w:top w:val="none" w:sz="0" w:space="0" w:color="auto"/>
        <w:left w:val="none" w:sz="0" w:space="0" w:color="auto"/>
        <w:bottom w:val="none" w:sz="0" w:space="0" w:color="auto"/>
        <w:right w:val="none" w:sz="0" w:space="0" w:color="auto"/>
      </w:divBdr>
    </w:div>
    <w:div w:id="812409993">
      <w:bodyDiv w:val="1"/>
      <w:marLeft w:val="0"/>
      <w:marRight w:val="0"/>
      <w:marTop w:val="0"/>
      <w:marBottom w:val="0"/>
      <w:divBdr>
        <w:top w:val="none" w:sz="0" w:space="0" w:color="auto"/>
        <w:left w:val="none" w:sz="0" w:space="0" w:color="auto"/>
        <w:bottom w:val="none" w:sz="0" w:space="0" w:color="auto"/>
        <w:right w:val="none" w:sz="0" w:space="0" w:color="auto"/>
      </w:divBdr>
    </w:div>
    <w:div w:id="966858802">
      <w:bodyDiv w:val="1"/>
      <w:marLeft w:val="0"/>
      <w:marRight w:val="0"/>
      <w:marTop w:val="0"/>
      <w:marBottom w:val="0"/>
      <w:divBdr>
        <w:top w:val="none" w:sz="0" w:space="0" w:color="auto"/>
        <w:left w:val="none" w:sz="0" w:space="0" w:color="auto"/>
        <w:bottom w:val="none" w:sz="0" w:space="0" w:color="auto"/>
        <w:right w:val="none" w:sz="0" w:space="0" w:color="auto"/>
      </w:divBdr>
    </w:div>
    <w:div w:id="1178739781">
      <w:bodyDiv w:val="1"/>
      <w:marLeft w:val="0"/>
      <w:marRight w:val="0"/>
      <w:marTop w:val="0"/>
      <w:marBottom w:val="0"/>
      <w:divBdr>
        <w:top w:val="none" w:sz="0" w:space="0" w:color="auto"/>
        <w:left w:val="none" w:sz="0" w:space="0" w:color="auto"/>
        <w:bottom w:val="none" w:sz="0" w:space="0" w:color="auto"/>
        <w:right w:val="none" w:sz="0" w:space="0" w:color="auto"/>
      </w:divBdr>
    </w:div>
    <w:div w:id="1362591693">
      <w:bodyDiv w:val="1"/>
      <w:marLeft w:val="0"/>
      <w:marRight w:val="0"/>
      <w:marTop w:val="0"/>
      <w:marBottom w:val="0"/>
      <w:divBdr>
        <w:top w:val="none" w:sz="0" w:space="0" w:color="auto"/>
        <w:left w:val="none" w:sz="0" w:space="0" w:color="auto"/>
        <w:bottom w:val="none" w:sz="0" w:space="0" w:color="auto"/>
        <w:right w:val="none" w:sz="0" w:space="0" w:color="auto"/>
      </w:divBdr>
    </w:div>
    <w:div w:id="2052997644">
      <w:bodyDiv w:val="1"/>
      <w:marLeft w:val="0"/>
      <w:marRight w:val="0"/>
      <w:marTop w:val="0"/>
      <w:marBottom w:val="0"/>
      <w:divBdr>
        <w:top w:val="none" w:sz="0" w:space="0" w:color="auto"/>
        <w:left w:val="none" w:sz="0" w:space="0" w:color="auto"/>
        <w:bottom w:val="none" w:sz="0" w:space="0" w:color="auto"/>
        <w:right w:val="none" w:sz="0" w:space="0" w:color="auto"/>
      </w:divBdr>
    </w:div>
    <w:div w:id="2053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1895-33F0-4EBD-B689-871E0C06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Alawlaqi</dc:creator>
  <cp:keywords/>
  <dc:description/>
  <cp:lastModifiedBy>Mohammed Al Houqani</cp:lastModifiedBy>
  <cp:revision>33</cp:revision>
  <dcterms:created xsi:type="dcterms:W3CDTF">2024-12-09T07:18:00Z</dcterms:created>
  <dcterms:modified xsi:type="dcterms:W3CDTF">2024-12-09T08:24:00Z</dcterms:modified>
</cp:coreProperties>
</file>